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B9DB2" Type="http://schemas.openxmlformats.org/officeDocument/2006/relationships/officeDocument" Target="/word/document.xml" /><Relationship Id="coreR39DB9DB2" Type="http://schemas.openxmlformats.org/package/2006/relationships/metadata/core-properties" Target="/docProps/core.xml" /><Relationship Id="customR39DB9D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koster pro čalouněný nábytek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materiálů, polotovarů a dílců pro výrobu kostry pro čalouněný nábytek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standardních dílců pro výrobu atypické kostry pro čalouněný nábytek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kostry pro čalouněný nábytek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funkčních mechanismů do kostry pro čalouněný nábytek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kostry pro čalouněný nábytek a její předání na další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28.10.2026 20:20:56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https://www.nsp.cz/jednotka-prace/pracovnik-vyroby-koster-p#zdravotni-zpusobilost).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ke zhotovení koster pro 2 typy čalouněného nábytku (područka sedačky, sedačka s rozkládacím mechanismem) za použití různých druhů materiálů (dřevotřískové a dřevovláknité desky, překližka, laťovka, masivní dřevo) s využitím běžně používaných technologických postupů a při dodržování standardně dovolených tolerancí.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přípravu a kontrolu polotovarů, dílců a komponentů, kontrolu a seřízení ručního nářadí, práci s ručním nářadím, předmontáž podsestav, montáž výrobku z připravených dílců, montáž kování, komponentů a mechanismů.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28.10.2026 20:20:56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28.10.2026 20:20:56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