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89512A" Type="http://schemas.openxmlformats.org/officeDocument/2006/relationships/officeDocument" Target="/word/document.xml" /><Relationship Id="coreR7E89512A" Type="http://schemas.openxmlformats.org/package/2006/relationships/metadata/core-properties" Target="/docProps/core.xml" /><Relationship Id="customR7E8951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skeletových dřevostaveb (kód: 33-046-H)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skeletových dřevostaveb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skeletových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skeletových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skeletových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Povrchová úprava skeletových prvků mořením, nanášením pigmentových a transparentních nátěrových hmot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skeletových dřevostaveb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05.08.2013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dodanou konstrukční a technologickou dokumentací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výrobku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výrobku. Pokud ze strany uchazeče nebudou při ověřování kompetencí dodržovány zásady BOZP a PO, ohodnotí zkoušející danou kompetenci, při níž došlo k porušení těchto zásad,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EBH Haus, s. r. o., Ostrava-Kunčice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dřevozpracující, U Studia 33, Ostrava-Zábřeh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MANO, s. r. o., Praha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KODA, s. r. o., Blatno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energetická a stavební, Obchodní akademie a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skeletových dřevostaveb,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