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5BA16B" Type="http://schemas.openxmlformats.org/officeDocument/2006/relationships/officeDocument" Target="/word/document.xml" /><Relationship Id="coreR335BA16B" Type="http://schemas.openxmlformats.org/package/2006/relationships/metadata/core-properties" Target="/docProps/core.xml" /><Relationship Id="customR335BA1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součástek strunných hudebních nástrojů (kód: 33-041-M)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součástek strunných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výrobu součástek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součástek strunných hudebních nástrojů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Tvarování součástek a jejich součástí pro strunné hudební nástroje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Povrchová úprava součástek strunných hudebních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 při výrobě hudebních nástrojů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součástek strunných hudebních nástrojů, 27.10.2026 4:38:04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 zkoušky předloží vlastnoručně zhotovenou garnituru. Při ověřování kritérií hodnocení je kladen důraz na volbu vhodné technologie a materiálu s přihlédnutím na detailní zpracování jednotlivých součástek strunných hudebních nástrojů, které dostane uchazeč k dispozici.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ověřeni: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provádí, a vlastními slovy vysvětlí, popíše, definuje prvky zadané v kritériích hodnocení.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hotových předložených součástek a související dílčí operace vyplývající ze zadání. Při hodnocení hotových výrobků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součástek strunných hudebních nástrojů, 27.10.2026 4:38:04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součástek strunných hudebních nástrojů, 27.10.2026 4:38:04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