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103F7" Type="http://schemas.openxmlformats.org/officeDocument/2006/relationships/officeDocument" Target="/word/document.xml" /><Relationship Id="coreR549103F7" Type="http://schemas.openxmlformats.org/package/2006/relationships/metadata/core-properties" Target="/docProps/core.xml" /><Relationship Id="customR549103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13.6.2026 10:45:45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42F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A0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