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E18A0" Type="http://schemas.openxmlformats.org/officeDocument/2006/relationships/officeDocument" Target="/word/document.xml" /><Relationship Id="coreR439E18A0" Type="http://schemas.openxmlformats.org/package/2006/relationships/metadata/core-properties" Target="/docProps/core.xml" /><Relationship Id="customR439E18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terarijní zvířata,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terarijních zvířat,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terarijních zvířat v lidské péči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terarijních zvířat,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terarijních zvířat, sledování diagnostických příznaků případných onemocnění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terarijních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Zabezpečení welfare v chovech terarijních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Aplikace zákonů, nařízení a mezinárodních dohod upravujících chov ohrožených druhů světové fauny (CITES)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Odchyt a odborná manipulace s terarijními zvířaty, transport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kvalifikovaných informací z oblasti chovu terarijních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https://nsp.cz/jednotka-prace/chovatel-terarijnich-zvir#zdravotni-zpusobilost).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hygieny práce, pozornost věnovat kvalitě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odchytu a fixaci v případě ošetření a transportů ve smyslu omezení stresu a nebezpečí poranění zvířat, stejně tak jako vysvětlit nebezpečí pro chovatele v případě manipulace s velkými a nebezpečnými druhy plazů.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