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A4BFAC" Type="http://schemas.openxmlformats.org/officeDocument/2006/relationships/officeDocument" Target="/word/document.xml" /><Relationship Id="coreR67A4BFAC" Type="http://schemas.openxmlformats.org/package/2006/relationships/metadata/core-properties" Target="/docProps/core.xml" /><Relationship Id="customR67A4BF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ryb na farmách a ve speciálních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Krmení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reprodukce chovaných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Chov raných stádií, plůdku, násad až po tržní ryby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Výlov ryb ze speciálních zařízení a jejich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https://www.nsp.cz/jednotka-prace/pstruhar#zdravotni-zpusobilost).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Pstruhař/pstruhařka, 11.9.2026 19:53:26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