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0AA191" Type="http://schemas.openxmlformats.org/officeDocument/2006/relationships/officeDocument" Target="/word/document.xml" /><Relationship Id="coreR440AA191" Type="http://schemas.openxmlformats.org/package/2006/relationships/metadata/core-properties" Target="/docProps/core.xml" /><Relationship Id="customR440AA1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Pstruhař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ryb na farmách a ve speciálních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Krmení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zooveterinárních opatření v chovech ryb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Zajištění reprodukce chovaných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Chov raných stádií, plůdku, násad až po tržní ryby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Výlov ryb ze speciálních zařízení a jejich expedice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19:58:59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https://www.nsp.cz/jednotka-prace/pstruhar#zdravotni-zpusobilost).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zvládání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Termín vykonání zkoušky je závislý na biologickém rytmu chovu ryb.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19:58:59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19:58:59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