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DC0280" Type="http://schemas.openxmlformats.org/officeDocument/2006/relationships/officeDocument" Target="/word/document.xml" /><Relationship Id="coreR5EDC0280" Type="http://schemas.openxmlformats.org/package/2006/relationships/metadata/core-properties" Target="/docProps/core.xml" /><Relationship Id="customR5EDC02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ryb na farmách a ve speciálních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Krmení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reprodukce chovaných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Chov raných stádií, plůdku, násad až po tržní ryby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Výlov ryb ze speciálních zařízení a jejich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https://www.nsp.cz/jednotka-prace/pstruhar#zdravotni-zpusobilost).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