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5B67F2" Type="http://schemas.openxmlformats.org/officeDocument/2006/relationships/officeDocument" Target="/word/document.xml" /><Relationship Id="coreR7F5B67F2" Type="http://schemas.openxmlformats.org/package/2006/relationships/metadata/core-properties" Target="/docProps/core.xml" /><Relationship Id="customR7F5B67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Pstruhař/pstruhařka (kód: 41-013-H)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Pstruhař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Pstruhař/pstruhařka, 13.6.2026 6:38:32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Rybář (kód: 41-53-H/01)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vodní drůbeže (kód: 41-034-H)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Líhňař/líhňařka (kód: 41-012-H)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Pstruhař/pstruhařka (kód: 41-013-H)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Rybníkář/rybníkářka (kód: 41-011-H)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Zpracovatel/zpracovatelka ryb (kód: 41-014-H)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068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315"/>
        <w:rPr>
          <w:rStyle w:val="C13"/>
          <w:rtl w:val="0"/>
        </w:rPr>
      </w:pPr>
      <w:r>
        <w:rPr>
          <w:rStyle w:val="C13"/>
          <w:rtl w:val="0"/>
        </w:rPr>
        <w:t>Úplnou profesní kvalifikaci Rybář (kód: 41-99-H/25)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9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90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Chovatel/chovatelka vodní drůbeže (kód: 41-034-H)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Líhňař/líhňařka (kód: 41-012-H)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Pstruhař/pstruhařka (kód: 41-013-H)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Rybníkář/rybníkářka (kód: 41-011-H)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Zpracovatel/zpracovatelka ryb (kód: 41-014-H)</w:t>
      </w:r>
    </w:p>
    <w:p>
      <w:pPr>
        <w:pStyle w:val="P6"/>
        <w:framePr w:w="10710" w:h="113" w:hRule="exact" w:wrap="none" w:vAnchor="page" w:hAnchor="margin" w:x="28" w:y="84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99"/>
        <w:rPr>
          <w:rStyle w:val="C18"/>
          <w:rtl w:val="0"/>
        </w:rPr>
      </w:pPr>
      <w:r>
        <w:rPr>
          <w:rStyle w:val="C18"/>
          <w:rtl w:val="0"/>
        </w:rPr>
        <w:t>Pstruhař</w:t>
      </w:r>
    </w:p>
    <w:p>
      <w:pPr>
        <w:pStyle w:val="P20"/>
        <w:framePr w:w="5338" w:h="376" w:hRule="exact" w:wrap="none" w:vAnchor="page" w:hAnchor="margin" w:x="5383" w:y="93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99"/>
        <w:rPr>
          <w:rStyle w:val="C19"/>
          <w:rtl w:val="0"/>
        </w:rPr>
      </w:pPr>
      <w:r>
        <w:rPr>
          <w:rStyle w:val="C19"/>
          <w:rtl w:val="0"/>
        </w:rPr>
        <w:t>Chovatel ryb a vodní drůbeže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Pstruhař/pstruhařka, 13.6.2026 6:38:32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