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FB6018" Type="http://schemas.openxmlformats.org/officeDocument/2006/relationships/officeDocument" Target="/word/document.xml" /><Relationship Id="coreR3FFB6018" Type="http://schemas.openxmlformats.org/package/2006/relationships/metadata/core-properties" Target="/docProps/core.xml" /><Relationship Id="customR3FFB60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01.08.2013 do: 29.11.2017</w:t>
      </w:r>
    </w:p>
    <w:p>
      <w:pPr>
        <w:pStyle w:val="P21"/>
        <w:framePr w:w="7654" w:h="331" w:hRule="exact" w:wrap="none" w:vAnchor="page" w:hAnchor="margin" w:x="28" w:y="15940"/>
        <w:rPr>
          <w:rStyle w:val="C16"/>
          <w:rtl w:val="0"/>
        </w:rPr>
      </w:pPr>
      <w:r>
        <w:rPr>
          <w:rStyle w:val="C16"/>
          <w:rtl w:val="0"/>
        </w:rPr>
        <w:t>Švadlena, 27.10.2026 2:46:45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2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sestavena v jeden proces (v technologické návaznosti jednotlivých činností) – uchazeči je zadáno zhotovení konkrétních oděvů (dámských kalhot a nepodšitého saka) pro konkrétní zákaznici (tzn. na konkrétní postavu).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kapsový a výztužný materiál ve formě nastříhaných dílů a součástí, drobnou přípravu) pro zhotovované výrobky.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Při ověřování odborné kompetence Obsluha speciálních šicích strojů při výrobě dámských oděvů může uchazeč kritéria c) až f) této odborné kompetence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Švadlena, 27.10.2026 2:46:45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Švadlena, 27.10.2026 2:46:45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