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CAF1D8" Type="http://schemas.openxmlformats.org/officeDocument/2006/relationships/officeDocument" Target="/word/document.xml" /><Relationship Id="coreR32CAF1D8" Type="http://schemas.openxmlformats.org/package/2006/relationships/metadata/core-properties" Target="/docProps/core.xml" /><Relationship Id="customR32CAF1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Líhňař (kód: 41-012-H)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evidence o chovu a reprodukci ryb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umělých a poloumělých výtěrů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Odchov raných stádií plůdku na líhni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Praktická realizace plemenářské práce v chovu ryb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zooveterinárních opatření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zařízení rybích líhní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15.08.2012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Líhňař, 11.9.2026 19:53:28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není vyžadována.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hygieny, jakož i ke kvalitě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Líhňař, 11.9.2026 19:53:28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zemědělství, ustavená a licencovaná pro tuto činnost HK ČR, SP ČR a AK ČR: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rybářská škola a VOŠ vodního hospodářství a ekologie Vodňany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Líhňař, 11.9.2026 19:53:28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