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CA74B2" Type="http://schemas.openxmlformats.org/officeDocument/2006/relationships/officeDocument" Target="/word/document.xml" /><Relationship Id="coreR62CA74B2" Type="http://schemas.openxmlformats.org/package/2006/relationships/metadata/core-properties" Target="/docProps/core.xml" /><Relationship Id="customR62CA74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Líhňař/líhňařka (kód: 41-012-H)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Líhňař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evidence o chovu a reprodukci ryb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umělých a poloumělých výtěrů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Odchov raných stádií plůdku na líhni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Praktická realizace plemenářské práce v chovu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zooveterinárních opatření v chovech ryb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rybích líhní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Líhňař/líhňařka, 27.10.2026 3:38:49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https://www.nsp.cz/jednotka-prace/lihnar#zdravotni-zpusobilost).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hygieny, jakož i ke kvalitě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na biologickém rytmu chovu ryb.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Líhňař/líhňařka, 27.10.2026 3:38:49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Líhňař/líhňařka, 27.10.2026 3:38:49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