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5DB11" Type="http://schemas.openxmlformats.org/officeDocument/2006/relationships/officeDocument" Target="/word/document.xml" /><Relationship Id="coreR6565DB11" Type="http://schemas.openxmlformats.org/package/2006/relationships/metadata/core-properties" Target="/docProps/core.xml" /><Relationship Id="customR6565D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https://www.nsp.cz/jednotka-prace/chovatel-zvirat-v-zoo#zdravotni-zpusobilost).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5 skupin savců: hlodavce, hmyzožravce, zajícovce a malé šelmy (fretky, mangusty, surikaty, kočky) a drobné primáty (drápkaté opice a poloopice). Pro účely praktického předvedení u kompetence „Odchyt a odborná manipulace s drobnými a středně velkými savci, transport“ stačí, aby uchazeč manipuloval se dvěma druhy savců - jedním zástupcem hlodavců (potkanem, křečkem, křečíkem, morčetem) a s jedním zástupcem zajícovců (králíkem domácím).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savců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a) bude uchazeč charakterizovat krmiva pro jednotlivé skupiny savců (hlodavce, zajícovce, hmyzožravce, malé druhy primátů a drobné šelmy) a pak bude určovat 3 vzorky krmiv pro býložravce, hmyzožravce a masožravce.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a ochrannými pomůckami,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savce a podmínky pracoviště. Důraz je třeba klást na zručnost a etiku manipulace se zvířaty (včetně krmných druhů),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s ústním ověřením se počítá s písemnou přípravou, která je započítána v době přípravy na zkoušku.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savců pro zájmové chovy, 29.10.2026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