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FB475A" Type="http://schemas.openxmlformats.org/officeDocument/2006/relationships/officeDocument" Target="/word/document.xml" /><Relationship Id="coreRDFB475A" Type="http://schemas.openxmlformats.org/package/2006/relationships/metadata/core-properties" Target="/docProps/core.xml" /><Relationship Id="customRDFB47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 pro chov skotu (kód: 41-071-M)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skotu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skotu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a označování skotu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skotu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skotu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mléčné užitkovosti skotu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masné užitkovosti skotu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reprodukce v chovu skotu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péče o zdraví skotu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živočišnou výrobu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14.10.2015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skotu,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 učebně, ale také přímo v zemědělském podniku zaměřeném na chov skotu. Při vstupu do chovu musí uchazeč splňovat požadavky veterinárních předpisů.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 a respektování požadavků pohody zvířat.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skotu,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zemědělská univerzita v Praze, FAPPZ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živočišné výroby, v. v. i.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 Jesenice u Prahy,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 pro chov skotu,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