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0B1F4E" Type="http://schemas.openxmlformats.org/officeDocument/2006/relationships/officeDocument" Target="/word/document.xml" /><Relationship Id="coreR4F0B1F4E" Type="http://schemas.openxmlformats.org/package/2006/relationships/metadata/core-properties" Target="/docProps/core.xml" /><Relationship Id="customR4F0B1F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Doprovázení umírajících a pozůstalých (kód: 69-056-M)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Sebereflexe doprovázejícího</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rituálech souvisejících se smrtí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Doprovázení umírajících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Doprovázení pozůstalých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Vypravování pohřbu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orientace v oblasti postmortálních práv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Vykonávání poslední vůle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14.10.2015 do: 06.12.2020</w:t>
      </w:r>
    </w:p>
    <w:p>
      <w:pPr>
        <w:pStyle w:val="P21"/>
        <w:framePr w:w="7654" w:h="331" w:hRule="exact" w:wrap="none" w:vAnchor="page" w:hAnchor="margin" w:x="28" w:y="15940"/>
        <w:rPr>
          <w:rStyle w:val="C16"/>
          <w:rtl w:val="0"/>
        </w:rPr>
      </w:pPr>
      <w:r>
        <w:rPr>
          <w:rStyle w:val="C16"/>
          <w:rtl w:val="0"/>
        </w:rPr>
        <w:t>Doprovázení umírajících a pozůstalých, 13.9.2026 18:56:47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Sebereflexe doprovázejícího</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Reflektovat vlastní postoj ke smrti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Zhodnotit osobní důvody kandidáta pro doprovázení umírajících a pozůstalých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objektivní důvody pro přerušení nebo ukončení doprovázení umírajících a pozůstalých</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rituálech souvisejících se smrtí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Popsat jednotlivé druhy rituálů, které se v České republice běžně provádějí u lůžka umírajícího</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Objasnit důležitost a význam pohřebních a smutečních obřadů, hřbitovů a pietních míst v České republice a vysvětlit zákonné podmínky zřízení pomníčku u míst tragických nehod (pozitiva, negativa)</w:t>
      </w:r>
    </w:p>
    <w:p>
      <w:pPr>
        <w:pStyle w:val="P30"/>
        <w:framePr w:w="3921" w:h="831" w:hRule="exact" w:wrap="none" w:vAnchor="page" w:hAnchor="margin" w:x="6800" w:y="7089"/>
        <w:rPr>
          <w:rStyle w:val="C3"/>
          <w:rtl w:val="0"/>
        </w:rPr>
      </w:pPr>
    </w:p>
    <w:p>
      <w:pPr>
        <w:pStyle w:val="P31"/>
        <w:framePr w:w="3839" w:h="704" w:hRule="exact" w:wrap="none" w:vAnchor="page" w:hAnchor="margin" w:x="6856" w:y="7145"/>
        <w:rPr>
          <w:rStyle w:val="C22"/>
          <w:rtl w:val="0"/>
        </w:rPr>
      </w:pPr>
      <w:r>
        <w:rPr>
          <w:rStyle w:val="C22"/>
          <w:rtl w:val="0"/>
        </w:rPr>
        <w:t>Ústní ověření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c) Rozlišit a popsat jednotlivé fáze umírání</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Písemné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d) Vysvětlit důvody a zákonné podmínky pro pravidelnou návštěvu umírajícího ve zdravotnických nebo sociálních zařízeních</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Doprovázení umírajících</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a) Provést rozhovor s umírajícím na téma jeho poslední vůle</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Předvést každodenní péči o psychickou pohodu umírajícího</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 a ústní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Zprostředkovat umírajícímu na jeho přání návštěvu duchovního</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d) Aktivně naslouchat umírajícímu</w:t>
      </w:r>
    </w:p>
    <w:p>
      <w:pPr>
        <w:pStyle w:val="P30"/>
        <w:framePr w:w="3921" w:h="376" w:hRule="exact" w:wrap="none" w:vAnchor="page" w:hAnchor="margin" w:x="6800" w:y="11396"/>
        <w:rPr>
          <w:rStyle w:val="C3"/>
          <w:rtl w:val="0"/>
        </w:rPr>
      </w:pPr>
    </w:p>
    <w:p>
      <w:pPr>
        <w:pStyle w:val="P31"/>
        <w:framePr w:w="3839" w:h="249" w:hRule="exact" w:wrap="none" w:vAnchor="page" w:hAnchor="margin" w:x="6856" w:y="11452"/>
        <w:rPr>
          <w:rStyle w:val="C22"/>
          <w:rtl w:val="0"/>
        </w:rPr>
      </w:pPr>
      <w:r>
        <w:rPr>
          <w:rStyle w:val="C22"/>
          <w:rtl w:val="0"/>
        </w:rPr>
        <w:t>Praktické předvedení</w:t>
      </w:r>
    </w:p>
    <w:p>
      <w:pPr>
        <w:pStyle w:val="P12"/>
        <w:framePr w:w="6710" w:h="376" w:hRule="exact" w:wrap="none" w:vAnchor="page" w:hAnchor="margin" w:x="45" w:y="11772"/>
        <w:rPr>
          <w:rStyle w:val="C3"/>
          <w:rtl w:val="0"/>
        </w:rPr>
      </w:pPr>
    </w:p>
    <w:p>
      <w:pPr>
        <w:pStyle w:val="P13"/>
        <w:framePr w:w="6658" w:h="249" w:hRule="exact" w:wrap="none" w:vAnchor="page" w:hAnchor="margin" w:x="71" w:y="11828"/>
        <w:rPr>
          <w:rStyle w:val="C11"/>
          <w:rtl w:val="0"/>
        </w:rPr>
      </w:pPr>
      <w:r>
        <w:rPr>
          <w:rStyle w:val="C11"/>
          <w:rtl w:val="0"/>
        </w:rPr>
        <w:t>e) Umýt a obléci tělo zemřelého</w:t>
      </w:r>
    </w:p>
    <w:p>
      <w:pPr>
        <w:pStyle w:val="P28"/>
        <w:framePr w:w="3921" w:h="376" w:hRule="exact" w:wrap="none" w:vAnchor="page" w:hAnchor="margin" w:x="6800" w:y="11772"/>
        <w:rPr>
          <w:rStyle w:val="C3"/>
          <w:rtl w:val="0"/>
        </w:rPr>
      </w:pPr>
    </w:p>
    <w:p>
      <w:pPr>
        <w:pStyle w:val="P29"/>
        <w:framePr w:w="3839" w:h="249" w:hRule="exact" w:wrap="none" w:vAnchor="page" w:hAnchor="margin" w:x="6856" w:y="11828"/>
        <w:rPr>
          <w:rStyle w:val="C21"/>
          <w:rtl w:val="0"/>
        </w:rPr>
      </w:pPr>
      <w:r>
        <w:rPr>
          <w:rStyle w:val="C21"/>
          <w:rtl w:val="0"/>
        </w:rPr>
        <w:t>Praktické předvedení</w:t>
      </w:r>
    </w:p>
    <w:p>
      <w:pPr>
        <w:pStyle w:val="P32"/>
        <w:framePr w:w="10710" w:h="248" w:hRule="exact" w:wrap="none" w:vAnchor="page" w:hAnchor="margin" w:x="28" w:y="12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Doprovázení umírajících a pozůstalých, 13.9.2026 18:56:47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Doprovázení pozůstalých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Vyhledat osoby blízké zemřelému a kontaktovat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způsoby, jak spolupracovat s příbuznými umírajícího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Uplatnit metody a techniky pro usnadňování průběhu procesu truchlení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Charakterizovat specifika doprovázení pozůstalých dětí, dospívajících, dospělých a seniorů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vhodné formy doprovázení pozůstalých s fyzickým handicapem</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Vysvětlit význam vzpomínek na zemřelého v procesu truchlení</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Charakterizovat odlišnosti při individuální a komunitní práci s emocemi pozůstalých v důsledku hromadných neštěstí a katastrof</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Ústní ověření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Vypravování pohřbu</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a) Uvést způsoby zajištění přechodného uložení lidských pozůstatků v domácím prostředí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831" w:hRule="exact" w:wrap="none" w:vAnchor="page" w:hAnchor="margin" w:x="45" w:y="8036"/>
        <w:rPr>
          <w:rStyle w:val="C3"/>
          <w:rtl w:val="0"/>
        </w:rPr>
      </w:pPr>
    </w:p>
    <w:p>
      <w:pPr>
        <w:pStyle w:val="P17"/>
        <w:framePr w:w="6658" w:h="704" w:hRule="exact" w:wrap="none" w:vAnchor="page" w:hAnchor="margin" w:x="71" w:y="8092"/>
        <w:rPr>
          <w:rStyle w:val="C13"/>
          <w:rtl w:val="0"/>
        </w:rPr>
      </w:pPr>
      <w:r>
        <w:rPr>
          <w:rStyle w:val="C13"/>
          <w:rtl w:val="0"/>
        </w:rPr>
        <w:t>b) Ve spolupráci s lékařem provádějícím prohlídku těla zemřelého a zástupcem registrované církve nebo náboženské společnosti navrhnout přiměřenou dobu obřadu nad tělem zemřelého</w:t>
      </w:r>
    </w:p>
    <w:p>
      <w:pPr>
        <w:pStyle w:val="P30"/>
        <w:framePr w:w="3921" w:h="831" w:hRule="exact" w:wrap="none" w:vAnchor="page" w:hAnchor="margin" w:x="6800" w:y="8036"/>
        <w:rPr>
          <w:rStyle w:val="C3"/>
          <w:rtl w:val="0"/>
        </w:rPr>
      </w:pPr>
    </w:p>
    <w:p>
      <w:pPr>
        <w:pStyle w:val="P31"/>
        <w:framePr w:w="3839" w:h="704" w:hRule="exact" w:wrap="none" w:vAnchor="page" w:hAnchor="margin" w:x="6856" w:y="8092"/>
        <w:rPr>
          <w:rStyle w:val="C22"/>
          <w:rtl w:val="0"/>
        </w:rPr>
      </w:pPr>
      <w:r>
        <w:rPr>
          <w:rStyle w:val="C22"/>
          <w:rtl w:val="0"/>
        </w:rPr>
        <w:t>Ústní ověření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c) Vyjmenovat všechny potřebné dokumenty k vypravení pohřbu</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Ústní ověření</w:t>
      </w:r>
    </w:p>
    <w:p>
      <w:pPr>
        <w:pStyle w:val="P16"/>
        <w:framePr w:w="6710" w:h="607" w:hRule="exact" w:wrap="none" w:vAnchor="page" w:hAnchor="margin" w:x="45" w:y="9243"/>
        <w:rPr>
          <w:rStyle w:val="C3"/>
          <w:rtl w:val="0"/>
        </w:rPr>
      </w:pPr>
    </w:p>
    <w:p>
      <w:pPr>
        <w:pStyle w:val="P17"/>
        <w:framePr w:w="6658" w:h="480" w:hRule="exact" w:wrap="none" w:vAnchor="page" w:hAnchor="margin" w:x="71" w:y="9299"/>
        <w:rPr>
          <w:rStyle w:val="C13"/>
          <w:rtl w:val="0"/>
        </w:rPr>
      </w:pPr>
      <w:r>
        <w:rPr>
          <w:rStyle w:val="C13"/>
          <w:rtl w:val="0"/>
        </w:rPr>
        <w:t>d) Předvést, jak zařídit občanský pohřeb dle poslední vůle zemřelého do země</w:t>
      </w:r>
    </w:p>
    <w:p>
      <w:pPr>
        <w:pStyle w:val="P30"/>
        <w:framePr w:w="3921" w:h="607" w:hRule="exact" w:wrap="none" w:vAnchor="page" w:hAnchor="margin" w:x="6800" w:y="9243"/>
        <w:rPr>
          <w:rStyle w:val="C3"/>
          <w:rtl w:val="0"/>
        </w:rPr>
      </w:pPr>
    </w:p>
    <w:p>
      <w:pPr>
        <w:pStyle w:val="P31"/>
        <w:framePr w:w="3839" w:h="480" w:hRule="exact" w:wrap="none" w:vAnchor="page" w:hAnchor="margin" w:x="6856" w:y="9299"/>
        <w:rPr>
          <w:rStyle w:val="C22"/>
          <w:rtl w:val="0"/>
        </w:rPr>
      </w:pPr>
      <w:r>
        <w:rPr>
          <w:rStyle w:val="C22"/>
          <w:rtl w:val="0"/>
        </w:rPr>
        <w:t>Praktické předvedení</w:t>
      </w:r>
    </w:p>
    <w:p>
      <w:pPr>
        <w:pStyle w:val="P12"/>
        <w:framePr w:w="6710" w:h="376" w:hRule="exact" w:wrap="none" w:vAnchor="page" w:hAnchor="margin" w:x="45" w:y="9850"/>
        <w:rPr>
          <w:rStyle w:val="C3"/>
          <w:rtl w:val="0"/>
        </w:rPr>
      </w:pPr>
    </w:p>
    <w:p>
      <w:pPr>
        <w:pStyle w:val="P13"/>
        <w:framePr w:w="6658" w:h="249" w:hRule="exact" w:wrap="none" w:vAnchor="page" w:hAnchor="margin" w:x="71" w:y="9906"/>
        <w:rPr>
          <w:rStyle w:val="C11"/>
          <w:rtl w:val="0"/>
        </w:rPr>
      </w:pPr>
      <w:r>
        <w:rPr>
          <w:rStyle w:val="C11"/>
          <w:rtl w:val="0"/>
        </w:rPr>
        <w:t>e) Předvést, jak zařídit důstojný pohřeb v úzkém rodinném kruhu svépomocí</w:t>
      </w:r>
    </w:p>
    <w:p>
      <w:pPr>
        <w:pStyle w:val="P28"/>
        <w:framePr w:w="3921" w:h="376" w:hRule="exact" w:wrap="none" w:vAnchor="page" w:hAnchor="margin" w:x="6800" w:y="9850"/>
        <w:rPr>
          <w:rStyle w:val="C3"/>
          <w:rtl w:val="0"/>
        </w:rPr>
      </w:pPr>
    </w:p>
    <w:p>
      <w:pPr>
        <w:pStyle w:val="P29"/>
        <w:framePr w:w="3839" w:h="249" w:hRule="exact" w:wrap="none" w:vAnchor="page" w:hAnchor="margin" w:x="6856" w:y="9906"/>
        <w:rPr>
          <w:rStyle w:val="C21"/>
          <w:rtl w:val="0"/>
        </w:rPr>
      </w:pPr>
      <w:r>
        <w:rPr>
          <w:rStyle w:val="C21"/>
          <w:rtl w:val="0"/>
        </w:rPr>
        <w:t>Praktické předvedení</w:t>
      </w:r>
    </w:p>
    <w:p>
      <w:pPr>
        <w:pStyle w:val="P16"/>
        <w:framePr w:w="6710" w:h="607" w:hRule="exact" w:wrap="none" w:vAnchor="page" w:hAnchor="margin" w:x="45" w:y="10226"/>
        <w:rPr>
          <w:rStyle w:val="C3"/>
          <w:rtl w:val="0"/>
        </w:rPr>
      </w:pPr>
    </w:p>
    <w:p>
      <w:pPr>
        <w:pStyle w:val="P17"/>
        <w:framePr w:w="6658" w:h="480" w:hRule="exact" w:wrap="none" w:vAnchor="page" w:hAnchor="margin" w:x="71" w:y="10282"/>
        <w:rPr>
          <w:rStyle w:val="C13"/>
          <w:rtl w:val="0"/>
        </w:rPr>
      </w:pPr>
      <w:r>
        <w:rPr>
          <w:rStyle w:val="C13"/>
          <w:rtl w:val="0"/>
        </w:rPr>
        <w:t>f) Připravit podklady pro žádost o pohřebné včetně pohřebného pro mrtvě narozené dítě, vdovský (vdovecký), sirotčí důchod apod.</w:t>
      </w:r>
    </w:p>
    <w:p>
      <w:pPr>
        <w:pStyle w:val="P30"/>
        <w:framePr w:w="3921" w:h="607" w:hRule="exact" w:wrap="none" w:vAnchor="page" w:hAnchor="margin" w:x="6800" w:y="10226"/>
        <w:rPr>
          <w:rStyle w:val="C3"/>
          <w:rtl w:val="0"/>
        </w:rPr>
      </w:pPr>
    </w:p>
    <w:p>
      <w:pPr>
        <w:pStyle w:val="P31"/>
        <w:framePr w:w="3839" w:h="480" w:hRule="exact" w:wrap="none" w:vAnchor="page" w:hAnchor="margin" w:x="6856" w:y="10282"/>
        <w:rPr>
          <w:rStyle w:val="C22"/>
          <w:rtl w:val="0"/>
        </w:rPr>
      </w:pPr>
      <w:r>
        <w:rPr>
          <w:rStyle w:val="C22"/>
          <w:rtl w:val="0"/>
        </w:rPr>
        <w:t>Praktické předvedení</w:t>
      </w:r>
    </w:p>
    <w:p>
      <w:pPr>
        <w:pStyle w:val="P32"/>
        <w:framePr w:w="10710" w:h="248" w:hRule="exact" w:wrap="none" w:vAnchor="page" w:hAnchor="margin" w:x="28" w:y="10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Doprovázení umírajících a pozůstalých, 13.9.2026 18:56:47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orientace v oblasti postmortálních práv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sousloví „právo na život“ a „lidská důstojnost“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jednání odporující Úmluvě o ochraně lidských práv a základních svobod (čl. 8)</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způsoby ochrany osobnosti post mortem podle občanského zákoníku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postup při darování těla zemřelého anatomickému ústavu v České republice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Objasnit, kdy a za jakých okolností se v České republice provádí absolutně povinná pitva a kdy je naopak nutné pitvu odmítnout</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postup při darování orgánů umírajícího (zemřelého) včetně přispěvku Ministerstva zdravotnictví pro vypravitele pohřbů</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Vykonávání poslední vůle</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Vysvětlit postup a vytvořit vzor sepsání platné závěti, dědické smlouvy a ústní formy závěti v souladu s dědickým právem v České republice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Vysvětlit, jak dbát o řádné splnění poslední vůle zemřelého a plnění jeho pokynů s péčí řádného hospodáře</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Vysvětlit a vytvořit vzor odkazu zemřelého pro případ smrti podle občanského zákoníku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d) Popsat způsob vymáhání pohledávky vypravitele za náklady pohřbu po dědicích a vysvětlit, jak zabránit jejímu promlčení</w:t>
      </w:r>
    </w:p>
    <w:p>
      <w:pPr>
        <w:pStyle w:val="P30"/>
        <w:framePr w:w="3921" w:h="607" w:hRule="exact" w:wrap="none" w:vAnchor="page" w:hAnchor="margin" w:x="6800" w:y="9565"/>
        <w:rPr>
          <w:rStyle w:val="C3"/>
          <w:rtl w:val="0"/>
        </w:rPr>
      </w:pPr>
    </w:p>
    <w:p>
      <w:pPr>
        <w:pStyle w:val="P31"/>
        <w:framePr w:w="3839" w:h="480" w:hRule="exact" w:wrap="none" w:vAnchor="page" w:hAnchor="margin" w:x="6856" w:y="9621"/>
        <w:rPr>
          <w:rStyle w:val="C22"/>
          <w:rtl w:val="0"/>
        </w:rPr>
      </w:pPr>
      <w:r>
        <w:rPr>
          <w:rStyle w:val="C22"/>
          <w:rtl w:val="0"/>
        </w:rPr>
        <w:t>Ústní ověření</w:t>
      </w:r>
    </w:p>
    <w:p>
      <w:pPr>
        <w:pStyle w:val="P12"/>
        <w:framePr w:w="6710" w:h="831" w:hRule="exact" w:wrap="none" w:vAnchor="page" w:hAnchor="margin" w:x="45" w:y="10172"/>
        <w:rPr>
          <w:rStyle w:val="C3"/>
          <w:rtl w:val="0"/>
        </w:rPr>
      </w:pPr>
    </w:p>
    <w:p>
      <w:pPr>
        <w:pStyle w:val="P13"/>
        <w:framePr w:w="6658" w:h="704" w:hRule="exact" w:wrap="none" w:vAnchor="page" w:hAnchor="margin" w:x="71" w:y="10228"/>
        <w:rPr>
          <w:rStyle w:val="C11"/>
          <w:rtl w:val="0"/>
        </w:rPr>
      </w:pPr>
      <w:r>
        <w:rPr>
          <w:rStyle w:val="C11"/>
          <w:rtl w:val="0"/>
        </w:rPr>
        <w:t>e) Vysvětlit rozdíl mezi řízením o dědictví a zajištěním uspořádání majetkových poměrů po smrti zůstavitele, rozlišit roli notáře jako soudního komisaře a vykonavatele závěti v České republice</w:t>
      </w:r>
    </w:p>
    <w:p>
      <w:pPr>
        <w:pStyle w:val="P28"/>
        <w:framePr w:w="3921" w:h="831" w:hRule="exact" w:wrap="none" w:vAnchor="page" w:hAnchor="margin" w:x="6800" w:y="10172"/>
        <w:rPr>
          <w:rStyle w:val="C3"/>
          <w:rtl w:val="0"/>
        </w:rPr>
      </w:pPr>
    </w:p>
    <w:p>
      <w:pPr>
        <w:pStyle w:val="P29"/>
        <w:framePr w:w="3839" w:h="704" w:hRule="exact" w:wrap="none" w:vAnchor="page" w:hAnchor="margin" w:x="6856" w:y="10228"/>
        <w:rPr>
          <w:rStyle w:val="C21"/>
          <w:rtl w:val="0"/>
        </w:rPr>
      </w:pPr>
      <w:r>
        <w:rPr>
          <w:rStyle w:val="C21"/>
          <w:rtl w:val="0"/>
        </w:rPr>
        <w:t>Ústní ověření</w:t>
      </w:r>
    </w:p>
    <w:p>
      <w:pPr>
        <w:pStyle w:val="P32"/>
        <w:framePr w:w="10710" w:h="248" w:hRule="exact" w:wrap="none" w:vAnchor="page" w:hAnchor="margin" w:x="28" w:y="111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Doprovázení umírajících a pozůstalých, 13.9.2026 18:56:47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oznámí uchazeči písemně termín a místo konání zkoušky. Součástí pozvánky bude přehled právních pramenů, především občanského zákoníku, zákona o zdravotních službách a zákona o pohřebnictví.</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zkoušky potvrdí uchazeč písemně zkoušejícímu, že není v době konání zkoušky sám v roli pozůstalého, popř. že od úmrtí osoby blízké uplynulo více než 15 měsíců.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ve vhodně upravené místnosti, aby bylo možné navodit atmosféru soukromí a klidu pro vykonání praktické části zkoušky. Formu navození modelových situací určí autorizovaná osoba (zvukový záznam, fiktivní telefonický rozhovor, účast figuranta v roli truchlícího nebo umírajícího apod.) Praktické předvedení u kompetencí Doprovázení umírajících a Doprovázení pozůstalých probíhá vždy s figurantem (hráčem role umírajícího nebo pozůstalého), který musí být empatický a disponovat výrazovými prostředky (herectvím) tak, aby dokázal projevit odpovídající emoce.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Jako součást přípravy na zkoušku je doporučeno vyplnění dotazníku uchazečem o zkoušku. Dotazník k vyplnění předá uchazeči autorizovaná osoba. Dotazník bude uveřejněn na www.mmr.cz.</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Praktické ověřování se provádí řešením rozmanitých modelových situací s hráčem role (figurantem), který hraje roli "umírajícího" a "pozůstalého" dle rámcového scénáře autorizované osoby.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musí porozumět dané situaci.</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Doporučujeme, aby praktická část zkoušky byla zaznamenána audiovizuálně a archivována po dobu trvání udělené autorizace.</w:t>
      </w:r>
    </w:p>
    <w:p>
      <w:pPr>
        <w:pStyle w:val="P33"/>
        <w:framePr w:w="10766" w:h="1837" w:hRule="exact" w:wrap="none" w:vAnchor="page" w:hAnchor="margin" w:x="0" w:y="8283"/>
        <w:rPr>
          <w:rStyle w:val="C3"/>
          <w:rtl w:val="0"/>
        </w:rPr>
      </w:pPr>
    </w:p>
    <w:p>
      <w:pPr>
        <w:pStyle w:val="P35"/>
        <w:framePr w:w="10710" w:h="340" w:hRule="exact" w:wrap="none" w:vAnchor="page" w:hAnchor="margin" w:x="28" w:y="8283"/>
        <w:rPr>
          <w:rStyle w:val="C25"/>
          <w:rtl w:val="0"/>
        </w:rPr>
      </w:pPr>
      <w:r>
        <w:rPr>
          <w:rStyle w:val="C25"/>
          <w:rtl w:val="0"/>
        </w:rPr>
        <w:t>Výsledné hodnocení</w:t>
      </w:r>
    </w:p>
    <w:p>
      <w:pPr>
        <w:keepNext w:val="0"/>
        <w:keepLines w:val="0"/>
        <w:framePr w:w="10766" w:h="1497" w:hRule="exact" w:wrap="none" w:vAnchor="page" w:hAnchor="margin" w:x="0" w:y="8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47"/>
        <w:rPr>
          <w:rStyle w:val="C3"/>
          <w:rtl w:val="0"/>
        </w:rPr>
      </w:pPr>
    </w:p>
    <w:p>
      <w:pPr>
        <w:pStyle w:val="P35"/>
        <w:framePr w:w="10710" w:h="340" w:hRule="exact" w:wrap="none" w:vAnchor="page" w:hAnchor="margin" w:x="28" w:y="10347"/>
        <w:rPr>
          <w:rStyle w:val="C25"/>
          <w:rtl w:val="0"/>
        </w:rPr>
      </w:pPr>
      <w:r>
        <w:rPr>
          <w:rStyle w:val="C25"/>
          <w:rtl w:val="0"/>
        </w:rPr>
        <w:t>Počet zkoušejících</w:t>
      </w:r>
    </w:p>
    <w:p>
      <w:pPr>
        <w:keepNext w:val="0"/>
        <w:keepLines w:val="0"/>
        <w:framePr w:w="10766" w:h="1036" w:hRule="exact" w:wrap="none" w:vAnchor="page" w:hAnchor="margin" w:x="0" w:y="10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Doprovázení umírajících a pozůstalých, 13.9.2026 18:56:47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alespoň bakalářského studijního programu a nejméně 5 let praxe v řídicích činnostech v oblasti zdravotnických nebo sociálních či pohřebních služeb, z toho minimálně 1 rok v období posledních dvou let před podáním žádosti o autorizaci.</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doprovázení umírajících a pozůstalých</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nejméně 5 let praxe v řídicích činnostech v oblasti zdravotnických nebo sociálních či pohřebních služeb, z toho minimálně 1 rok v období posledních dvou let před podáním žádosti o autorizaci.</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Doprovázení umírajících a pozůstalých, 13.9.2026 18:56:47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zkoušky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telefon popř. audiovizuální technika</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(herec) v roli pozůstalého a umírajícího</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manipulaci s tělem zemřelého</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úpravu zemřelých s tekoucí vodou</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Lidské pozůstatky do týdne od úmrtí, ke kterým se nikdo nehlásí</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 o prohlídce zemřelého</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Emitní miska, vata/gáza, obvaz, čtverečky buničiny, dřevěné lopatky, tác k uložení věci zemřelého, jednorázový empír, jednorázové gumové rukavice, jednorázovou zástěru, jednorázovou roušku či ústenku, jednorázový kryt hlavy, jednorázové papírové utěrky, tampóny, vlhké ubrousky, vatu, sáčky na biologický odpad, netkané textilie Pervin/Perlan</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Závěť</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věci zemřelého (mobil, diář, záznamník apod.)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Postel</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Rubáš</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Prostěradlo</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Papírové utěrky a kapesníky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 a studená voda, umyvadlo, WC</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potřeby (ručník, mýdlo, žinka, hřeben, holení apod.)</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Rukavice</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913"/>
        <w:rPr>
          <w:rStyle w:val="C3"/>
          <w:rtl w:val="0"/>
        </w:rPr>
      </w:pPr>
    </w:p>
    <w:p>
      <w:pPr>
        <w:pStyle w:val="P35"/>
        <w:framePr w:w="10710" w:h="340" w:hRule="exact" w:wrap="none" w:vAnchor="page" w:hAnchor="margin" w:x="28" w:y="8913"/>
        <w:rPr>
          <w:rStyle w:val="C25"/>
          <w:rtl w:val="0"/>
        </w:rPr>
      </w:pPr>
      <w:r>
        <w:rPr>
          <w:rStyle w:val="C25"/>
          <w:rtl w:val="0"/>
        </w:rPr>
        <w:t>Doba přípravy na zkoušku</w:t>
      </w:r>
    </w:p>
    <w:p>
      <w:pPr>
        <w:keepNext w:val="0"/>
        <w:keepLines w:val="0"/>
        <w:framePr w:w="10766" w:h="1036" w:hRule="exact" w:wrap="none" w:vAnchor="page" w:hAnchor="margin" w:x="0" w:y="92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516"/>
        <w:rPr>
          <w:rStyle w:val="C3"/>
          <w:rtl w:val="0"/>
        </w:rPr>
      </w:pPr>
    </w:p>
    <w:p>
      <w:pPr>
        <w:pStyle w:val="P35"/>
        <w:framePr w:w="10710" w:h="340" w:hRule="exact" w:wrap="none" w:vAnchor="page" w:hAnchor="margin" w:x="28" w:y="10516"/>
        <w:rPr>
          <w:rStyle w:val="C25"/>
          <w:rtl w:val="0"/>
        </w:rPr>
      </w:pPr>
      <w:r>
        <w:rPr>
          <w:rStyle w:val="C25"/>
          <w:rtl w:val="0"/>
        </w:rPr>
        <w:t>Doba pro vykonání zkoušky</w:t>
      </w:r>
    </w:p>
    <w:p>
      <w:pPr>
        <w:keepNext w:val="0"/>
        <w:keepLines w:val="0"/>
        <w:framePr w:w="10766" w:h="806" w:hRule="exact" w:wrap="none" w:vAnchor="page" w:hAnchor="margin" w:x="0" w:y="108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Doprovázení umírajících a pozůstalých, 13.9.2026 18:56:47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Haman, Vazby květin,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Katedra sociologie a andragogiky Filozofické fakulty Univerzity Palackého v Olomouci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Magistrát města Jihlavy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o. s.</w:t>
      </w:r>
    </w:p>
    <w:p>
      <w:pPr>
        <w:pStyle w:val="P21"/>
        <w:framePr w:w="7654" w:h="331" w:hRule="exact" w:wrap="none" w:vAnchor="page" w:hAnchor="margin" w:x="28" w:y="15940"/>
        <w:rPr>
          <w:rStyle w:val="C16"/>
          <w:rtl w:val="0"/>
        </w:rPr>
      </w:pPr>
      <w:r>
        <w:rPr>
          <w:rStyle w:val="C16"/>
          <w:rtl w:val="0"/>
        </w:rPr>
        <w:t>Doprovázení umírajících a pozůstalých, 13.9.2026 18:56:47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FE40A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152DD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