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3C186B" Type="http://schemas.openxmlformats.org/officeDocument/2006/relationships/officeDocument" Target="/word/document.xml" /><Relationship Id="coreR7E3C186B" Type="http://schemas.openxmlformats.org/package/2006/relationships/metadata/core-properties" Target="/docProps/core.xml" /><Relationship Id="customR7E3C18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polygrafický technik pracovník řízení jakosti (kód: 34-044-R)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polygrafický technik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řízení jakosti, normalizace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kvality polygrafických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Zpracování technickoekonomických studií, rozborů a prognóz jakosti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2401" w:hRule="exact" w:wrap="none" w:vAnchor="page" w:hAnchor="margin" w:x="45" w:y="10030"/>
        <w:rPr>
          <w:rStyle w:val="C3"/>
          <w:rtl w:val="0"/>
        </w:rPr>
      </w:pPr>
    </w:p>
    <w:p>
      <w:pPr>
        <w:pStyle w:val="P13"/>
        <w:framePr w:w="6658" w:h="2274" w:hRule="exact" w:wrap="none" w:vAnchor="page" w:hAnchor="margin" w:x="71" w:y="10086"/>
        <w:rPr>
          <w:rStyle w:val="C11"/>
          <w:rtl w:val="0"/>
        </w:rPr>
      </w:pPr>
      <w:r>
        <w:rPr>
          <w:rStyle w:val="C11"/>
          <w:rtl w:val="0"/>
        </w:rPr>
        <w:t>a) Vysvětlit princip konstrukce, realizace a vyhodnocování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w:t>
        <w:tab/>
        <w:t xml:space="preserve"> Výroba tiskové formy</w:t>
        <w:br w:type="textWrapping"/>
        <w:t>- ČSN ISO 12647-2</w:t>
        <w:tab/>
        <w:t xml:space="preserve"> Tisk ofsetem</w:t>
        <w:br w:type="textWrapping"/>
        <w:t>- ČSN ISO 12647-7</w:t>
        <w:tab/>
        <w:t xml:space="preserve"> Digitální kontrolní nátisk</w:t>
        <w:br w:type="textWrapping"/>
        <w:t>- ISO 3664 Osvětlení pro vizuální posuzování barevnosti</w:t>
      </w:r>
    </w:p>
    <w:p>
      <w:pPr>
        <w:pStyle w:val="P28"/>
        <w:framePr w:w="3921" w:h="2401" w:hRule="exact" w:wrap="none" w:vAnchor="page" w:hAnchor="margin" w:x="6800" w:y="10030"/>
        <w:rPr>
          <w:rStyle w:val="C3"/>
          <w:rtl w:val="0"/>
        </w:rPr>
      </w:pPr>
    </w:p>
    <w:p>
      <w:pPr>
        <w:pStyle w:val="P29"/>
        <w:framePr w:w="3839" w:h="2274" w:hRule="exact" w:wrap="none" w:vAnchor="page" w:hAnchor="margin" w:x="6856" w:y="10086"/>
        <w:rPr>
          <w:rStyle w:val="C21"/>
          <w:rtl w:val="0"/>
        </w:rPr>
      </w:pPr>
      <w:r>
        <w:rPr>
          <w:rStyle w:val="C21"/>
          <w:rtl w:val="0"/>
        </w:rPr>
        <w:t>Písemné a ústní ověření</w:t>
      </w:r>
    </w:p>
    <w:p>
      <w:pPr>
        <w:pStyle w:val="P16"/>
        <w:framePr w:w="6710" w:h="831" w:hRule="exact" w:wrap="none" w:vAnchor="page" w:hAnchor="margin" w:x="45" w:y="12431"/>
        <w:rPr>
          <w:rStyle w:val="C3"/>
          <w:rtl w:val="0"/>
        </w:rPr>
      </w:pPr>
    </w:p>
    <w:p>
      <w:pPr>
        <w:pStyle w:val="P17"/>
        <w:framePr w:w="6658" w:h="704" w:hRule="exact" w:wrap="none" w:vAnchor="page" w:hAnchor="margin" w:x="71" w:y="12487"/>
        <w:rPr>
          <w:rStyle w:val="C13"/>
          <w:rtl w:val="0"/>
        </w:rPr>
      </w:pPr>
      <w:r>
        <w:rPr>
          <w:rStyle w:val="C13"/>
          <w:rtl w:val="0"/>
        </w:rPr>
        <w:t>b) Pro provozování integrovaného systému řízení jakosti a pro realizaci měření a sběr dat prokázat znalost odborného názvosloví používaného ve všech stupních odborného vzdělávání a v polygrafických normách ČSN ISO</w:t>
      </w:r>
    </w:p>
    <w:p>
      <w:pPr>
        <w:pStyle w:val="P30"/>
        <w:framePr w:w="3921" w:h="831" w:hRule="exact" w:wrap="none" w:vAnchor="page" w:hAnchor="margin" w:x="6800" w:y="12431"/>
        <w:rPr>
          <w:rStyle w:val="C3"/>
          <w:rtl w:val="0"/>
        </w:rPr>
      </w:pPr>
    </w:p>
    <w:p>
      <w:pPr>
        <w:pStyle w:val="P31"/>
        <w:framePr w:w="3839" w:h="704" w:hRule="exact" w:wrap="none" w:vAnchor="page" w:hAnchor="margin" w:x="6856" w:y="12487"/>
        <w:rPr>
          <w:rStyle w:val="C22"/>
          <w:rtl w:val="0"/>
        </w:rPr>
      </w:pPr>
      <w:r>
        <w:rPr>
          <w:rStyle w:val="C22"/>
          <w:rtl w:val="0"/>
        </w:rPr>
        <w:t>Praktické předvedení</w:t>
      </w:r>
    </w:p>
    <w:p>
      <w:pPr>
        <w:pStyle w:val="P12"/>
        <w:framePr w:w="6710" w:h="376" w:hRule="exact" w:wrap="none" w:vAnchor="page" w:hAnchor="margin" w:x="45" w:y="13262"/>
        <w:rPr>
          <w:rStyle w:val="C3"/>
          <w:rtl w:val="0"/>
        </w:rPr>
      </w:pPr>
    </w:p>
    <w:p>
      <w:pPr>
        <w:pStyle w:val="P13"/>
        <w:framePr w:w="6658" w:h="249" w:hRule="exact" w:wrap="none" w:vAnchor="page" w:hAnchor="margin" w:x="71" w:y="13318"/>
        <w:rPr>
          <w:rStyle w:val="C11"/>
          <w:rtl w:val="0"/>
        </w:rPr>
      </w:pPr>
      <w:r>
        <w:rPr>
          <w:rStyle w:val="C11"/>
          <w:rtl w:val="0"/>
        </w:rPr>
        <w:t>c) Posoudit účel normy ČSN ISO 12637-1</w:t>
      </w:r>
    </w:p>
    <w:p>
      <w:pPr>
        <w:pStyle w:val="P28"/>
        <w:framePr w:w="3921" w:h="376" w:hRule="exact" w:wrap="none" w:vAnchor="page" w:hAnchor="margin" w:x="6800" w:y="13262"/>
        <w:rPr>
          <w:rStyle w:val="C3"/>
          <w:rtl w:val="0"/>
        </w:rPr>
      </w:pPr>
    </w:p>
    <w:p>
      <w:pPr>
        <w:pStyle w:val="P29"/>
        <w:framePr w:w="3839" w:h="249" w:hRule="exact" w:wrap="none" w:vAnchor="page" w:hAnchor="margin" w:x="6856" w:y="13318"/>
        <w:rPr>
          <w:rStyle w:val="C21"/>
          <w:rtl w:val="0"/>
        </w:rPr>
      </w:pPr>
      <w:r>
        <w:rPr>
          <w:rStyle w:val="C21"/>
          <w:rtl w:val="0"/>
        </w:rPr>
        <w:t>Praktické předvedení</w:t>
      </w:r>
    </w:p>
    <w:p>
      <w:pPr>
        <w:pStyle w:val="P16"/>
        <w:framePr w:w="6710" w:h="831" w:hRule="exact" w:wrap="none" w:vAnchor="page" w:hAnchor="margin" w:x="45" w:y="13638"/>
        <w:rPr>
          <w:rStyle w:val="C3"/>
          <w:rtl w:val="0"/>
        </w:rPr>
      </w:pPr>
    </w:p>
    <w:p>
      <w:pPr>
        <w:pStyle w:val="P17"/>
        <w:framePr w:w="6658" w:h="704" w:hRule="exact" w:wrap="none" w:vAnchor="page" w:hAnchor="margin" w:x="71" w:y="13694"/>
        <w:rPr>
          <w:rStyle w:val="C13"/>
          <w:rtl w:val="0"/>
        </w:rPr>
      </w:pPr>
      <w:r>
        <w:rPr>
          <w:rStyle w:val="C13"/>
          <w:rtl w:val="0"/>
        </w:rPr>
        <w:t>d) Použít správnou polygrafickou terminologii a v zadaném textu nahradit nesprávné pojmy z oblasti polygrafie, vysvětlit jejich vliv na srozumitelnost a jednoznačnost integrovaného systému řízení kvality</w:t>
      </w:r>
    </w:p>
    <w:p>
      <w:pPr>
        <w:pStyle w:val="P30"/>
        <w:framePr w:w="3921" w:h="831" w:hRule="exact" w:wrap="none" w:vAnchor="page" w:hAnchor="margin" w:x="6800" w:y="13638"/>
        <w:rPr>
          <w:rStyle w:val="C3"/>
          <w:rtl w:val="0"/>
        </w:rPr>
      </w:pPr>
    </w:p>
    <w:p>
      <w:pPr>
        <w:pStyle w:val="P31"/>
        <w:framePr w:w="3839" w:h="704" w:hRule="exact" w:wrap="none" w:vAnchor="page" w:hAnchor="margin" w:x="6856" w:y="13694"/>
        <w:rPr>
          <w:rStyle w:val="C22"/>
          <w:rtl w:val="0"/>
        </w:rPr>
      </w:pPr>
      <w:r>
        <w:rPr>
          <w:rStyle w:val="C22"/>
          <w:rtl w:val="0"/>
        </w:rPr>
        <w:t>Praktické předvedení a ústní ověření</w:t>
      </w:r>
    </w:p>
    <w:p>
      <w:pPr>
        <w:pStyle w:val="P32"/>
        <w:framePr w:w="10710" w:h="248" w:hRule="exact" w:wrap="none" w:vAnchor="page" w:hAnchor="margin" w:x="28" w:y="145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Posoudit vliv následujících parametrů kvality v metodice řízení vstupní kontroly: </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 souladu s parametry stanovenými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625" w:hRule="exact" w:wrap="none" w:vAnchor="page" w:hAnchor="margin" w:x="45" w:y="6426"/>
        <w:rPr>
          <w:rStyle w:val="C3"/>
          <w:rtl w:val="0"/>
        </w:rPr>
      </w:pPr>
    </w:p>
    <w:p>
      <w:pPr>
        <w:pStyle w:val="P13"/>
        <w:framePr w:w="6658" w:h="2498" w:hRule="exact" w:wrap="none" w:vAnchor="page" w:hAnchor="margin" w:x="71" w:y="6482"/>
        <w:rPr>
          <w:rStyle w:val="C11"/>
          <w:rtl w:val="0"/>
        </w:rPr>
      </w:pPr>
      <w:r>
        <w:rPr>
          <w:rStyle w:val="C11"/>
          <w:rtl w:val="0"/>
        </w:rPr>
        <w:t xml:space="preserve">c) Vysvětlit vliv seřízení následujících zařízení a prvků na metodiku řízení vstupní kontroly: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metamerii) </w:t>
        <w:br w:type="textWrapping"/>
        <w:t>-</w:t>
        <w:tab/>
        <w:t>kontrolních prvků (pro systematické řízení procesu podle PSO)</w:t>
        <w:br w:type="textWrapping"/>
        <w:t>-</w:t>
        <w:tab/>
        <w:t>displejů (pro kontrolní nátisk na displeji podle ČSN ISO 12646)</w:t>
        <w:br w:type="textWrapping"/>
        <w:t>-</w:t>
        <w:tab/>
        <w:t>osvětlení displeje a prostředí (podle ČSN ISO 12646, ISO 3664)</w:t>
        <w:br w:type="textWrapping"/>
        <w:t>-</w:t>
        <w:tab/>
        <w:t xml:space="preserve">osvětlení náhledového boxu a jeho prostředí (podle ISO 3664) </w:t>
        <w:br w:type="textWrapping"/>
        <w:t>-</w:t>
        <w:tab/>
        <w:t>osvětlení ovládacího pultu (podle ISO 3664 a podkladů PSO)</w:t>
      </w:r>
    </w:p>
    <w:p>
      <w:pPr>
        <w:pStyle w:val="P28"/>
        <w:framePr w:w="3921" w:h="2625" w:hRule="exact" w:wrap="none" w:vAnchor="page" w:hAnchor="margin" w:x="6800" w:y="6426"/>
        <w:rPr>
          <w:rStyle w:val="C3"/>
          <w:rtl w:val="0"/>
        </w:rPr>
      </w:pPr>
    </w:p>
    <w:p>
      <w:pPr>
        <w:pStyle w:val="P29"/>
        <w:framePr w:w="3839" w:h="2498"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9051"/>
        <w:rPr>
          <w:rStyle w:val="C3"/>
          <w:rtl w:val="0"/>
        </w:rPr>
      </w:pPr>
    </w:p>
    <w:p>
      <w:pPr>
        <w:pStyle w:val="P17"/>
        <w:framePr w:w="6658" w:h="928" w:hRule="exact" w:wrap="none" w:vAnchor="page" w:hAnchor="margin" w:x="71" w:y="9107"/>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9051"/>
        <w:rPr>
          <w:rStyle w:val="C3"/>
          <w:rtl w:val="0"/>
        </w:rPr>
      </w:pPr>
    </w:p>
    <w:p>
      <w:pPr>
        <w:pStyle w:val="P31"/>
        <w:framePr w:w="3839" w:h="928" w:hRule="exact" w:wrap="none" w:vAnchor="page" w:hAnchor="margin" w:x="6856" w:y="9107"/>
        <w:rPr>
          <w:rStyle w:val="C22"/>
          <w:rtl w:val="0"/>
        </w:rPr>
      </w:pPr>
      <w:r>
        <w:rPr>
          <w:rStyle w:val="C22"/>
          <w:rtl w:val="0"/>
        </w:rPr>
        <w:t>Písemné a 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 xml:space="preserve">d) Zhodnotit mezioperační kontrolu: </w:t>
        <w:br w:type="textWrapping"/>
        <w:t>-</w:t>
        <w:tab/>
        <w:t xml:space="preserve">potiskovaných materiálů </w:t>
        <w:br w:type="textWrapping"/>
        <w:t>-</w:t>
        <w:tab/>
        <w:t>procesních, sekundárních a terciárních tiskových barev</w:t>
        <w:br w:type="textWrapping"/>
        <w:t>-</w:t>
        <w:tab/>
        <w:t>rámcových políček barevného rozsahu (pokud jsou k dispozici)</w:t>
        <w:br w:type="textWrapping"/>
        <w:t>-</w:t>
        <w:tab/>
        <w:t>přímých barev tvořených soutiskem</w:t>
        <w:br w:type="textWrapping"/>
        <w:t>-</w:t>
        <w:tab/>
        <w:t>přímých barev podle parametrů vzorníku</w:t>
        <w:br w:type="textWrapping"/>
        <w:t>-</w:t>
        <w:tab/>
        <w:t>přímých barev na základě obchodního požadavku</w:t>
        <w:br w:type="textWrapping"/>
        <w:t>-</w:t>
        <w:tab/>
        <w:t>nárůstů tónových hodnot jednotlivých procesních barev</w:t>
        <w:br w:type="textWrapping"/>
        <w:t>-</w:t>
        <w:tab/>
        <w:t>rozsahu rozbarvení středních tónů pestrých procesních barev</w:t>
        <w:br w:type="textWrapping"/>
        <w:t xml:space="preserve">-  soutisku</w:t>
        <w:br w:type="textWrapping"/>
        <w:t>-</w:t>
        <w:tab/>
        <w:t>reprodukovatelného tónového rozsahu</w:t>
        <w:br w:type="textWrapping"/>
        <w:t>v souladu s parametry předepsanými:</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výstupní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 xml:space="preserve">a) Vysvětlit systematičnost řízení výstupní kontroly v systému PSO zaměřenou na výstupní parametry kvality podle normy: </w:t>
        <w:br w:type="textWrapping"/>
        <w:t>- ČSN ISO 12647-2</w:t>
        <w:tab/>
        <w:t>Tisk ofsetem (Archový a akcidenční ofsetový tisk)</w:t>
        <w:br w:type="textWrapping"/>
        <w:t>a v případě specializace alternativně pro normy:</w:t>
        <w:br w:type="textWrapping"/>
        <w:t>- ČSN ISO 12647-3</w:t>
        <w:tab/>
        <w:t xml:space="preserve"> Novinový ofsetový tisk</w:t>
        <w:br w:type="textWrapping"/>
        <w:t>- ČSN ISO 12647-7 Digitální tisk</w:t>
        <w:br w:type="textWrapping"/>
        <w:t>- ČSN ISO 12647-6 Flexotisk</w:t>
        <w:br w:type="textWrapping"/>
        <w:t>- ISO 12647-4 Hlubotisk</w:t>
        <w:br w:type="textWrapping"/>
        <w:t>- ISO 12647-5 Sítotisk</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5370"/>
        <w:rPr>
          <w:rStyle w:val="C3"/>
          <w:rtl w:val="0"/>
        </w:rPr>
      </w:pPr>
    </w:p>
    <w:p>
      <w:pPr>
        <w:pStyle w:val="P17"/>
        <w:framePr w:w="6658" w:h="704" w:hRule="exact" w:wrap="none" w:vAnchor="page" w:hAnchor="margin" w:x="71" w:y="5426"/>
        <w:rPr>
          <w:rStyle w:val="C13"/>
          <w:rtl w:val="0"/>
        </w:rPr>
      </w:pPr>
      <w:r>
        <w:rPr>
          <w:rStyle w:val="C13"/>
          <w:rtl w:val="0"/>
        </w:rPr>
        <w:t>b) Posoudit důležitost úkonů pro zjišťování příčin snížené kvality polygrafických výrobků a realizaci opatření vedoucích k dosažení žádoucí kvality tisku při fungování systému řízení jakosti podle PSO</w:t>
      </w:r>
    </w:p>
    <w:p>
      <w:pPr>
        <w:pStyle w:val="P30"/>
        <w:framePr w:w="3921" w:h="831" w:hRule="exact" w:wrap="none" w:vAnchor="page" w:hAnchor="margin" w:x="6800" w:y="5370"/>
        <w:rPr>
          <w:rStyle w:val="C3"/>
          <w:rtl w:val="0"/>
        </w:rPr>
      </w:pPr>
    </w:p>
    <w:p>
      <w:pPr>
        <w:pStyle w:val="P31"/>
        <w:framePr w:w="3839" w:h="704" w:hRule="exact" w:wrap="none" w:vAnchor="page" w:hAnchor="margin" w:x="6856" w:y="5426"/>
        <w:rPr>
          <w:rStyle w:val="C22"/>
          <w:rtl w:val="0"/>
        </w:rPr>
      </w:pPr>
      <w:r>
        <w:rPr>
          <w:rStyle w:val="C22"/>
          <w:rtl w:val="0"/>
        </w:rPr>
        <w:t>Praktické předvedení</w:t>
      </w:r>
    </w:p>
    <w:p>
      <w:pPr>
        <w:pStyle w:val="P12"/>
        <w:framePr w:w="6710" w:h="607" w:hRule="exact" w:wrap="none" w:vAnchor="page" w:hAnchor="margin" w:x="45" w:y="6201"/>
        <w:rPr>
          <w:rStyle w:val="C3"/>
          <w:rtl w:val="0"/>
        </w:rPr>
      </w:pPr>
    </w:p>
    <w:p>
      <w:pPr>
        <w:pStyle w:val="P13"/>
        <w:framePr w:w="6658" w:h="480" w:hRule="exact" w:wrap="none" w:vAnchor="page" w:hAnchor="margin" w:x="71" w:y="6257"/>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6201"/>
        <w:rPr>
          <w:rStyle w:val="C3"/>
          <w:rtl w:val="0"/>
        </w:rPr>
      </w:pPr>
    </w:p>
    <w:p>
      <w:pPr>
        <w:pStyle w:val="P29"/>
        <w:framePr w:w="3839" w:h="480" w:hRule="exact" w:wrap="none" w:vAnchor="page" w:hAnchor="margin" w:x="6856" w:y="6257"/>
        <w:rPr>
          <w:rStyle w:val="C21"/>
          <w:rtl w:val="0"/>
        </w:rPr>
      </w:pPr>
      <w:r>
        <w:rPr>
          <w:rStyle w:val="C21"/>
          <w:rtl w:val="0"/>
        </w:rPr>
        <w:t>Praktické předvedení a ústní ověření</w:t>
      </w:r>
    </w:p>
    <w:p>
      <w:pPr>
        <w:pStyle w:val="P32"/>
        <w:framePr w:w="10710" w:h="248" w:hRule="exact" w:wrap="none" w:vAnchor="page" w:hAnchor="margin" w:x="28" w:y="6922"/>
        <w:rPr>
          <w:rStyle w:val="C23"/>
          <w:rtl w:val="0"/>
        </w:rPr>
      </w:pPr>
      <w:r>
        <w:rPr>
          <w:rStyle w:val="C23"/>
          <w:rtl w:val="0"/>
        </w:rPr>
        <w:t>Je třeba splnit všechna kritéria.</w:t>
      </w:r>
    </w:p>
    <w:p>
      <w:pPr>
        <w:pStyle w:val="P23"/>
        <w:framePr w:w="10710" w:h="340" w:hRule="exact" w:wrap="none" w:vAnchor="page" w:hAnchor="margin" w:x="28" w:y="7357"/>
        <w:rPr>
          <w:rStyle w:val="C18"/>
          <w:rtl w:val="0"/>
        </w:rPr>
      </w:pPr>
      <w:r>
        <w:rPr>
          <w:rStyle w:val="C18"/>
          <w:rtl w:val="0"/>
        </w:rPr>
        <w:t>Koordinace řízení jakosti, normalizace a zkušebnictví v polygrafické výrobě</w:t>
      </w:r>
    </w:p>
    <w:p>
      <w:pPr>
        <w:pStyle w:val="P24"/>
        <w:framePr w:w="6713" w:h="376" w:hRule="exact" w:wrap="none" w:vAnchor="page" w:hAnchor="margin" w:x="45" w:y="7797"/>
        <w:rPr>
          <w:rStyle w:val="C3"/>
          <w:rtl w:val="0"/>
        </w:rPr>
      </w:pPr>
    </w:p>
    <w:p>
      <w:pPr>
        <w:pStyle w:val="P25"/>
        <w:framePr w:w="6661" w:h="249" w:hRule="exact" w:wrap="none" w:vAnchor="page" w:hAnchor="margin" w:x="71" w:y="7868"/>
        <w:rPr>
          <w:rStyle w:val="C19"/>
          <w:rtl w:val="0"/>
        </w:rPr>
      </w:pPr>
      <w:r>
        <w:rPr>
          <w:rStyle w:val="C19"/>
          <w:rtl w:val="0"/>
        </w:rPr>
        <w:t>Kritéria hodnocení</w:t>
      </w:r>
    </w:p>
    <w:p>
      <w:pPr>
        <w:pStyle w:val="P26"/>
        <w:framePr w:w="3918" w:h="376" w:hRule="exact" w:wrap="none" w:vAnchor="page" w:hAnchor="margin" w:x="6803" w:y="7797"/>
        <w:rPr>
          <w:rStyle w:val="C3"/>
          <w:rtl w:val="0"/>
        </w:rPr>
      </w:pPr>
    </w:p>
    <w:p>
      <w:pPr>
        <w:pStyle w:val="P27"/>
        <w:framePr w:w="3836" w:h="249" w:hRule="exact" w:wrap="none" w:vAnchor="page" w:hAnchor="margin" w:x="6859" w:y="7868"/>
        <w:rPr>
          <w:rStyle w:val="C20"/>
          <w:rtl w:val="0"/>
        </w:rPr>
      </w:pPr>
      <w:r>
        <w:rPr>
          <w:rStyle w:val="C20"/>
          <w:rtl w:val="0"/>
        </w:rPr>
        <w:t>Způsoby ověření</w:t>
      </w:r>
    </w:p>
    <w:p>
      <w:pPr>
        <w:pStyle w:val="P12"/>
        <w:framePr w:w="6710" w:h="831" w:hRule="exact" w:wrap="none" w:vAnchor="page" w:hAnchor="margin" w:x="45" w:y="8173"/>
        <w:rPr>
          <w:rStyle w:val="C3"/>
          <w:rtl w:val="0"/>
        </w:rPr>
      </w:pPr>
    </w:p>
    <w:p>
      <w:pPr>
        <w:pStyle w:val="P13"/>
        <w:framePr w:w="6658" w:h="704" w:hRule="exact" w:wrap="none" w:vAnchor="page" w:hAnchor="margin" w:x="71" w:y="8229"/>
        <w:rPr>
          <w:rStyle w:val="C11"/>
          <w:rtl w:val="0"/>
        </w:rPr>
      </w:pPr>
      <w:r>
        <w:rPr>
          <w:rStyle w:val="C11"/>
          <w:rtl w:val="0"/>
        </w:rPr>
        <w:t>a) Vysvětlit nutnost koordinace normalizace a zkušebnictví v polygrafické výrobě s řízením jakosti podle pravidel PSO pro provozování integrovaného systému řízení jakosti</w:t>
      </w:r>
    </w:p>
    <w:p>
      <w:pPr>
        <w:pStyle w:val="P28"/>
        <w:framePr w:w="3921" w:h="831" w:hRule="exact" w:wrap="none" w:vAnchor="page" w:hAnchor="margin" w:x="6800" w:y="8173"/>
        <w:rPr>
          <w:rStyle w:val="C3"/>
          <w:rtl w:val="0"/>
        </w:rPr>
      </w:pPr>
    </w:p>
    <w:p>
      <w:pPr>
        <w:pStyle w:val="P29"/>
        <w:framePr w:w="3839" w:h="704" w:hRule="exact" w:wrap="none" w:vAnchor="page" w:hAnchor="margin" w:x="6856" w:y="8229"/>
        <w:rPr>
          <w:rStyle w:val="C21"/>
          <w:rtl w:val="0"/>
        </w:rPr>
      </w:pPr>
      <w:r>
        <w:rPr>
          <w:rStyle w:val="C21"/>
          <w:rtl w:val="0"/>
        </w:rPr>
        <w:t>Písemné a ústní ověření</w:t>
      </w:r>
    </w:p>
    <w:p>
      <w:pPr>
        <w:pStyle w:val="P16"/>
        <w:framePr w:w="6710" w:h="607" w:hRule="exact" w:wrap="none" w:vAnchor="page" w:hAnchor="margin" w:x="45" w:y="9004"/>
        <w:rPr>
          <w:rStyle w:val="C3"/>
          <w:rtl w:val="0"/>
        </w:rPr>
      </w:pPr>
    </w:p>
    <w:p>
      <w:pPr>
        <w:pStyle w:val="P17"/>
        <w:framePr w:w="6658" w:h="480" w:hRule="exact" w:wrap="none" w:vAnchor="page" w:hAnchor="margin" w:x="71" w:y="9060"/>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9004"/>
        <w:rPr>
          <w:rStyle w:val="C3"/>
          <w:rtl w:val="0"/>
        </w:rPr>
      </w:pPr>
    </w:p>
    <w:p>
      <w:pPr>
        <w:pStyle w:val="P31"/>
        <w:framePr w:w="3839" w:h="480" w:hRule="exact" w:wrap="none" w:vAnchor="page" w:hAnchor="margin" w:x="6856" w:y="9060"/>
        <w:rPr>
          <w:rStyle w:val="C22"/>
          <w:rtl w:val="0"/>
        </w:rPr>
      </w:pPr>
      <w:r>
        <w:rPr>
          <w:rStyle w:val="C22"/>
          <w:rtl w:val="0"/>
        </w:rPr>
        <w:t>Praktické předvedení</w:t>
      </w:r>
    </w:p>
    <w:p>
      <w:pPr>
        <w:pStyle w:val="P12"/>
        <w:framePr w:w="6710" w:h="1055" w:hRule="exact" w:wrap="none" w:vAnchor="page" w:hAnchor="margin" w:x="45" w:y="9611"/>
        <w:rPr>
          <w:rStyle w:val="C3"/>
          <w:rtl w:val="0"/>
        </w:rPr>
      </w:pPr>
    </w:p>
    <w:p>
      <w:pPr>
        <w:pStyle w:val="P13"/>
        <w:framePr w:w="6658" w:h="928" w:hRule="exact" w:wrap="none" w:vAnchor="page" w:hAnchor="margin" w:x="71" w:y="9667"/>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9611"/>
        <w:rPr>
          <w:rStyle w:val="C3"/>
          <w:rtl w:val="0"/>
        </w:rPr>
      </w:pPr>
    </w:p>
    <w:p>
      <w:pPr>
        <w:pStyle w:val="P29"/>
        <w:framePr w:w="3839" w:h="928" w:hRule="exact" w:wrap="none" w:vAnchor="page" w:hAnchor="margin" w:x="6856" w:y="9667"/>
        <w:rPr>
          <w:rStyle w:val="C21"/>
          <w:rtl w:val="0"/>
        </w:rPr>
      </w:pPr>
      <w:r>
        <w:rPr>
          <w:rStyle w:val="C21"/>
          <w:rtl w:val="0"/>
        </w:rPr>
        <w:t>Praktické předvedení a ústní ověření</w:t>
      </w:r>
    </w:p>
    <w:p>
      <w:pPr>
        <w:pStyle w:val="P16"/>
        <w:framePr w:w="6710" w:h="1504" w:hRule="exact" w:wrap="none" w:vAnchor="page" w:hAnchor="margin" w:x="45" w:y="10666"/>
        <w:rPr>
          <w:rStyle w:val="C3"/>
          <w:rtl w:val="0"/>
        </w:rPr>
      </w:pPr>
    </w:p>
    <w:p>
      <w:pPr>
        <w:pStyle w:val="P17"/>
        <w:framePr w:w="6658" w:h="1377" w:hRule="exact" w:wrap="none" w:vAnchor="page" w:hAnchor="margin" w:x="71" w:y="10722"/>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a uvést vliv jednoho volně zvoleného parametru na provozování integrovaného systému řízení jakosti</w:t>
      </w:r>
    </w:p>
    <w:p>
      <w:pPr>
        <w:pStyle w:val="P30"/>
        <w:framePr w:w="3921" w:h="1504" w:hRule="exact" w:wrap="none" w:vAnchor="page" w:hAnchor="margin" w:x="6800" w:y="10666"/>
        <w:rPr>
          <w:rStyle w:val="C3"/>
          <w:rtl w:val="0"/>
        </w:rPr>
      </w:pPr>
    </w:p>
    <w:p>
      <w:pPr>
        <w:pStyle w:val="P31"/>
        <w:framePr w:w="3839" w:h="1377" w:hRule="exact" w:wrap="none" w:vAnchor="page" w:hAnchor="margin" w:x="6856" w:y="10722"/>
        <w:rPr>
          <w:rStyle w:val="C22"/>
          <w:rtl w:val="0"/>
        </w:rPr>
      </w:pPr>
      <w:r>
        <w:rPr>
          <w:rStyle w:val="C22"/>
          <w:rtl w:val="0"/>
        </w:rPr>
        <w:t>Praktické předvedení</w:t>
      </w:r>
    </w:p>
    <w:p>
      <w:pPr>
        <w:pStyle w:val="P12"/>
        <w:framePr w:w="6710" w:h="1055" w:hRule="exact" w:wrap="none" w:vAnchor="page" w:hAnchor="margin" w:x="45" w:y="12170"/>
        <w:rPr>
          <w:rStyle w:val="C3"/>
          <w:rtl w:val="0"/>
        </w:rPr>
      </w:pPr>
    </w:p>
    <w:p>
      <w:pPr>
        <w:pStyle w:val="P13"/>
        <w:framePr w:w="6658" w:h="928" w:hRule="exact" w:wrap="none" w:vAnchor="page" w:hAnchor="margin" w:x="71" w:y="12226"/>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12170"/>
        <w:rPr>
          <w:rStyle w:val="C3"/>
          <w:rtl w:val="0"/>
        </w:rPr>
      </w:pPr>
    </w:p>
    <w:p>
      <w:pPr>
        <w:pStyle w:val="P29"/>
        <w:framePr w:w="3839" w:h="928" w:hRule="exact" w:wrap="none" w:vAnchor="page" w:hAnchor="margin" w:x="6856" w:y="12226"/>
        <w:rPr>
          <w:rStyle w:val="C21"/>
          <w:rtl w:val="0"/>
        </w:rPr>
      </w:pPr>
      <w:r>
        <w:rPr>
          <w:rStyle w:val="C21"/>
          <w:rtl w:val="0"/>
        </w:rPr>
        <w:t>Praktické předvedení a ústní ověření</w:t>
      </w:r>
    </w:p>
    <w:p>
      <w:pPr>
        <w:pStyle w:val="P32"/>
        <w:framePr w:w="10710" w:h="248" w:hRule="exact" w:wrap="none" w:vAnchor="page" w:hAnchor="margin" w:x="28" w:y="13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kvality polygrafických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zadané zakázce stanovit kvalitu polygrafických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proč je v integrovaném systému řízení jakosti pro stanovování kvality polygrafických výrobků důležité stanovení standardní požadované kvality tiskových dat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Vysvětlit, proč je v integrovaném systému řízení jakosti pro stanovování kvality polygrafických výrobků důležité stanovení standardní požadované kvality kontrolního nátisku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Vysvětlit, proč je v integrovaném systému řízení jakosti pro stanovování kvality polygrafických výrobků důležité stanovení standardní požadované kvality nehmotného kontrolního nátisku na displeji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Písemné a 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Vysvětlit, proč je v integrovaném systému řízení jakosti pro stanovování kvality polygrafických výrobků důležité stanovení standardní požadované kvality tisku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Písemné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Vysvětlit, proč je v integrovaném systému řízení jakosti pro stanovování kvality polygrafických výrobků důležité stanovení standardní požadované kvality dokončovacího zpracování</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https://nsp.cz/jednotka-prace/samostatny-polygraficky-t#zdravotni-zpusobilost).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pouze trpět poruchami vidění (barvocitu), protože součástí jeho práce je i vizuální posuzování a porovnávání tisků.</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Zkratka PSO (ProzessStandardOffset) znamená "standardizaci ofsetových tiskových procesů" (zkráceně "standardizaci ofsetu"). Je to systém nasazení příslušných polygrafických ISO norem do praxe.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nutno prověřovat podle aktuálně platných norem: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14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částí písemné, ústní a praktické.</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1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3"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Samostatný polygrafický technik pracovník řízení jakosti, 27.10.2026 3:47:54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1FA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56A3D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95A8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25765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