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3EBA" Type="http://schemas.openxmlformats.org/officeDocument/2006/relationships/officeDocument" Target="/word/document.xml" /><Relationship Id="coreR643EBA" Type="http://schemas.openxmlformats.org/package/2006/relationships/metadata/core-properties" Target="/docProps/core.xml" /><Relationship Id="customR643E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Umělecký řezbář, 28.10.2026 23:11:47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28.10.2026 23:11:47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28.10.2026 23:11:47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28.10.2026 23:11:47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28.10.2026 23:11:47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střední vzdělání s maturitní zkouškou a alespoň 5 let odborné praxe v oblasti uměleckořemeslného zpracování dřeva nebo řezbářství.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28.10.2026 23:11:47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28.10.2026 23:11:47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28.10.2026 23:11:47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02C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AB07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9B60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00B5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BFA74E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