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D88A1F" Type="http://schemas.openxmlformats.org/officeDocument/2006/relationships/officeDocument" Target="/word/document.xml" /><Relationship Id="coreR5AD88A1F" Type="http://schemas.openxmlformats.org/package/2006/relationships/metadata/core-properties" Target="/docProps/core.xml" /><Relationship Id="customR5AD88A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05.09.2018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soustav s tepelnými čerpadly a mělkých geotermálních systémů,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PK, pro účely § 10d zákona č. 406/2000 Sb., o hospodaření energií, ve znění pozdějších předpisů (Zákona č. 318/2012 Sb., kterým se mění zákon č. 406/2000 Sb., o hospodaření energií, ve znění pozdějších předpisů a Zákona č. 455/1991 Sb., o živnostenském podnikání (živnostenský zákon), ve znění pozdějších předpisů).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zařazení uchazeče ke zkoušce je splnění některého z následujících požadavků: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odborné vzdělání s výučním listem v technickém oboru a praxe v oboru minimálně 3 roky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vzdělání s maturitní zkouškou technického směru a praxe v oboru minimálně 1 rok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vyšší odborné vzdělání technického směru a praxe v oboru minimálně 1 rok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vysokoškolské vzdělání technického směru a praxe v oboru minimálně 1 rok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řádné ukončení rekvalifikace pro pracovní činnost instalatér nebo topenář nebo mechanik chladicích zařízení nebo elektromontér a 3 roky praxe v oboru instalatérství, topenářství nebo chladicí techniky nebo elektrotechniky.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splnění kritérií probíhá ústním ověřením a praktickým předvedením. Při ověřování splnění kritérií založených na formě praktického předvedení je třeba přihlížet především k bezpečnému provádění všech úkonů, ke kvalitě zhotoveného produktu i k časovému hledisku zvládání operací. K přezkoušení těchto kompetencí určí zkoušející část tepelného čerpadla. K přezkoušení kompetence Instalace, údržba a servis tepelného čerpadla zkoušející simuluje závadu na určené části soustavy s tepelným čerpadlem.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Členové zkušební komise musí být přítomni u zkoušky po celou dobu zkoušení uchazečů.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soustav s tepelnými čerpadly a mělkých geotermálních systémů,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soustav s tepelnými čerpadly a mělkých geotermálních systémů,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