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339C30" Type="http://schemas.openxmlformats.org/officeDocument/2006/relationships/officeDocument" Target="/word/document.xml" /><Relationship Id="coreR5C339C30" Type="http://schemas.openxmlformats.org/package/2006/relationships/metadata/core-properties" Target="/docProps/core.xml" /><Relationship Id="customR5C339C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technologických podmínek pro provádění montáží a demontáží kovových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 a montáž kovových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 a osazování sloupů, stožárů, stropních nosníků, překladů, panelů a podobných součástí a celků z kovových materiálů (ocel, Al, Cu) včetně dílců pro opláštění budov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protikorozní a protipožární ochrany montovaných celků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Používání prostředků pro manipulaci s ocelovými konstrukcemi a jejich částmi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Ošetřování a údržba nástrojů, nářadí a pomůcek pro montážní práce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28.04.2015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20:03:45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Výkon této pozice je omezen těmito onemocněními: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vidění, závratě, duševní poruchy, poruchy chování, onemocnění oběhové soustavy, onemocnění ledvin, závažná onemocnění dýchacích cest a plic, závažná onemocnění pohybového systému znemožňující práci ve vynucené poloze a zátěž páteře a trupu.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způsobilosti ke svařování kovů (svářečský průkaz) – základní zkouška – odborná způsobilost podle ČSN 050705 Z1 a vazačský průkaz.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hodnoticí standard nemůže vzít v úvahu všechny možné varianty ověřování odborných způsobilostí, autorizovaná osoba rozpracuje hodnoticí standard do konkrétního zadání. Přitom nemůže měnit obecný charakter kritérií hodnocení ani žádné povinné kritérium vypustit.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zejména následujících norem v platném znění: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732601 – Provádění ocelových konstrukcí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732603 - Provádění ocelových mostních konstrukcí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732604 - Požadavky na údržbu a kontrolu ocelových konstrukcí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730802 - Požární bezpečnost staveb – nevýrobní objekty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730810 - Požární bezpečnost staveb – společná ustanovení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050610 – Bezpečnostní předpisy pro svařování a řezání kovů plamenem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050630 – Bezpečnostní předpisy pro svařování a řezání kovů el. obloukem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80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20:03:45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 –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EMV, s. r. o., stavební firma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kovových stavebních konstrukcí, 11.9.2026 20:03:45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