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E818FE" Type="http://schemas.openxmlformats.org/officeDocument/2006/relationships/officeDocument" Target="/word/document.xml" /><Relationship Id="coreR25E818FE" Type="http://schemas.openxmlformats.org/package/2006/relationships/metadata/core-properties" Target="/docProps/core.xml" /><Relationship Id="customR25E818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surovárny (kód: 29-056-H)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pro výrobu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cukru a dalších cukrovarnických produktů v surovárně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strojního zařízení a automatického systému řízení na surovárně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Příjem a zpracování suroviny pro výrobu cukru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Posouzení kvality suroviny pro výrobu cukru a smyslové posouzení jakosti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základní evidence v surovárně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v cukrovaru, dodržování bezpečnostních předpisů a zásad bezpečnosti potravin, využívání systému a standardů kvality potravinářství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zaměstnanců surovárny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surovárny, 27.10.2026 3:39:08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"https://www.nsp.cz/jednotka-prace/e88cea5405"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https://www.nsp.cz/jednotka-prace/e88cea5405#zdravotni-zpusobilost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cukrovarech a dodržování technologického postupu. Při hodnocení se rovněž posuzuje hospodárné využívání surovin, dodržování principů bezpečnosti práce a principů HACCP při práci v surovárně,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surovárny, 27.10.2026 3:39:08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Moravskoslezské cukrovary,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Tereos TTD,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Hanácká potravinářská společnost,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chemická, Brno, Vranovská ul.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surovárny, 27.10.2026 3:39:08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