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49C66C" Type="http://schemas.openxmlformats.org/officeDocument/2006/relationships/officeDocument" Target="/word/document.xml" /><Relationship Id="coreR2949C66C" Type="http://schemas.openxmlformats.org/package/2006/relationships/metadata/core-properties" Target="/docProps/core.xml" /><Relationship Id="customR2949C6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Manipulant/manipulantka surovárny (kód: 29-056-H)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pro výrobu potravin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cukru a dalších cukrovarnických produktů v surovárně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strojního zařízení a automatického systému řízení na surovárně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Příjem a zpracování suroviny pro výrobu cukru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Posouzení kvality suroviny pro výrobu cukru a smyslové posouzení jakosti polotovarů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základní evidence v surovárně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hygienicko-sanitačních činností v cukrovaru, dodržování bezpečnostních předpisů a zásad bezpečnosti potravin, využívání systému a standardů kvality potravinářství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Vedení zaměstnanců surovárny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surovárny, 11.9.2026 19:33:52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"https://www.nsp.cz/jednotka-prace/e88cea5405"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https://www.nsp.cz/jednotka-prace/e88cea5405#zdravotni-zpusobilost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bezpečné práce v cukrovarech a dodržování technologického postupu. Při hodnocení se rovněž posuzuje hospodárné využívání surovin, dodržování principů bezpečnosti práce a principů HACCP při práci v surovárně,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surovárny, 11.9.2026 19:33:52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Moravskoslezské cukrovary,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Tereos TTD,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Hanácká potravinářská společnost,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chemická, Brno, Vranovská ul.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surovárny, 11.9.2026 19:33:52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