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29C510" Type="http://schemas.openxmlformats.org/officeDocument/2006/relationships/officeDocument" Target="/word/document.xml" /><Relationship Id="coreR5429C510" Type="http://schemas.openxmlformats.org/package/2006/relationships/metadata/core-properties" Target="/docProps/core.xml" /><Relationship Id="customR5429C5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strojního zařízení a automatického systému řízení na surovárně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Příjem a zpracování suroviny pro výrobu cukru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kvality suroviny pro výrobu cukru a smyslové posouzení jakosti polotovarů a hotových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evidence v surovárně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zaměstnanců surovárny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28.04.2015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surovárny, 27.10.2026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NSP)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je posuzováno rovněž hospodárné využívání surovin, dodržování principů bezpečnosti práce a principů HACCP při práci na surovárně,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surovárny, 27.10.2026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surovárny, 27.10.2026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