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8928F" Type="http://schemas.openxmlformats.org/officeDocument/2006/relationships/officeDocument" Target="/word/document.xml" /><Relationship Id="coreR1828928F" Type="http://schemas.openxmlformats.org/package/2006/relationships/metadata/core-properties" Target="/docProps/core.xml" /><Relationship Id="customR182892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Praktickou část je nutné absolvovat v porostu, případně i pracovišti s přiměřeným technickým zázemím (dílna, přístřešek apod.), kde je možné ověřit uvedené znalosti a dovednosti práce s křovinořezem.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