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92E985" Type="http://schemas.openxmlformats.org/officeDocument/2006/relationships/officeDocument" Target="/word/document.xml" /><Relationship Id="coreR2892E985" Type="http://schemas.openxmlformats.org/package/2006/relationships/metadata/core-properties" Target="/docProps/core.xml" /><Relationship Id="customR2892E9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376" w:hRule="exact" w:wrap="none" w:vAnchor="page" w:hAnchor="margin" w:x="45" w:y="6378"/>
        <w:rPr>
          <w:rStyle w:val="C3"/>
          <w:rtl w:val="0"/>
        </w:rPr>
      </w:pPr>
    </w:p>
    <w:p>
      <w:pPr>
        <w:pStyle w:val="P13"/>
        <w:framePr w:w="9774" w:h="249" w:hRule="exact" w:wrap="none" w:vAnchor="page" w:hAnchor="margin" w:x="71" w:y="6434"/>
        <w:rPr>
          <w:rStyle w:val="C11"/>
          <w:rtl w:val="0"/>
        </w:rPr>
      </w:pPr>
      <w:r>
        <w:rPr>
          <w:rStyle w:val="C11"/>
          <w:rtl w:val="0"/>
        </w:rPr>
        <w:t>Kontrola dodržování technologických postupů ve stavebnictví</w:t>
      </w:r>
    </w:p>
    <w:p>
      <w:pPr>
        <w:pStyle w:val="P14"/>
        <w:framePr w:w="805" w:h="376" w:hRule="exact" w:wrap="none" w:vAnchor="page" w:hAnchor="margin" w:x="9916" w:y="6378"/>
        <w:rPr>
          <w:rStyle w:val="C3"/>
          <w:rtl w:val="0"/>
        </w:rPr>
      </w:pPr>
    </w:p>
    <w:p>
      <w:pPr>
        <w:pStyle w:val="P15"/>
        <w:framePr w:w="723" w:h="249" w:hRule="exact" w:wrap="none" w:vAnchor="page" w:hAnchor="margin" w:x="9972" w:y="6434"/>
        <w:rPr>
          <w:rStyle w:val="C12"/>
          <w:rtl w:val="0"/>
        </w:rPr>
      </w:pPr>
      <w:r>
        <w:rPr>
          <w:rStyle w:val="C12"/>
          <w:rtl w:val="0"/>
        </w:rPr>
        <w:t>4</w:t>
      </w:r>
    </w:p>
    <w:p>
      <w:pPr>
        <w:pStyle w:val="P16"/>
        <w:framePr w:w="9826" w:h="607" w:hRule="exact" w:wrap="none" w:vAnchor="page" w:hAnchor="margin" w:x="45" w:y="6755"/>
        <w:rPr>
          <w:rStyle w:val="C3"/>
          <w:rtl w:val="0"/>
        </w:rPr>
      </w:pPr>
    </w:p>
    <w:p>
      <w:pPr>
        <w:pStyle w:val="P17"/>
        <w:framePr w:w="9774" w:h="480" w:hRule="exact" w:wrap="none" w:vAnchor="page" w:hAnchor="margin" w:x="71" w:y="6811"/>
        <w:rPr>
          <w:rStyle w:val="C13"/>
          <w:rtl w:val="0"/>
        </w:rPr>
      </w:pPr>
      <w:r>
        <w:rPr>
          <w:rStyle w:val="C13"/>
          <w:rtl w:val="0"/>
        </w:rPr>
        <w:t>Zajišťování provozu dopravních prostředků, strojů a zařízení, udržování jejich provozuschopnosti, obnova vozového a strojového parku</w:t>
      </w:r>
    </w:p>
    <w:p>
      <w:pPr>
        <w:pStyle w:val="P18"/>
        <w:framePr w:w="805" w:h="607" w:hRule="exact" w:wrap="none" w:vAnchor="page" w:hAnchor="margin" w:x="9916" w:y="6755"/>
        <w:rPr>
          <w:rStyle w:val="C3"/>
          <w:rtl w:val="0"/>
        </w:rPr>
      </w:pPr>
    </w:p>
    <w:p>
      <w:pPr>
        <w:pStyle w:val="P19"/>
        <w:framePr w:w="723" w:h="480" w:hRule="exact" w:wrap="none" w:vAnchor="page" w:hAnchor="margin" w:x="9972" w:y="6811"/>
        <w:rPr>
          <w:rStyle w:val="C14"/>
          <w:rtl w:val="0"/>
        </w:rPr>
      </w:pPr>
      <w:r>
        <w:rPr>
          <w:rStyle w:val="C14"/>
          <w:rtl w:val="0"/>
        </w:rPr>
        <w:t>3</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Zajišťování dodržování bezpečnosti a ochrany zdraví při práci a požární ochrany hmotného investičního majetku</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Vyhotovování podkladů pro veřejné zakázky a žádosti o dotace na hmotný investiční majetek</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4</w:t>
      </w:r>
    </w:p>
    <w:p>
      <w:pPr>
        <w:pStyle w:val="P12"/>
        <w:framePr w:w="9826" w:h="376" w:hRule="exact" w:wrap="none" w:vAnchor="page" w:hAnchor="margin" w:x="45" w:y="8114"/>
        <w:rPr>
          <w:rStyle w:val="C3"/>
          <w:rtl w:val="0"/>
        </w:rPr>
      </w:pPr>
    </w:p>
    <w:p>
      <w:pPr>
        <w:pStyle w:val="P13"/>
        <w:framePr w:w="9774" w:h="249" w:hRule="exact" w:wrap="none" w:vAnchor="page" w:hAnchor="margin" w:x="71" w:y="8170"/>
        <w:rPr>
          <w:rStyle w:val="C11"/>
          <w:rtl w:val="0"/>
        </w:rPr>
      </w:pPr>
      <w:r>
        <w:rPr>
          <w:rStyle w:val="C11"/>
          <w:rtl w:val="0"/>
        </w:rPr>
        <w:t>Vedení agendy odpadového hospodářství</w:t>
      </w:r>
    </w:p>
    <w:p>
      <w:pPr>
        <w:pStyle w:val="P14"/>
        <w:framePr w:w="805" w:h="376" w:hRule="exact" w:wrap="none" w:vAnchor="page" w:hAnchor="margin" w:x="9916" w:y="8114"/>
        <w:rPr>
          <w:rStyle w:val="C3"/>
          <w:rtl w:val="0"/>
        </w:rPr>
      </w:pPr>
    </w:p>
    <w:p>
      <w:pPr>
        <w:pStyle w:val="P15"/>
        <w:framePr w:w="723" w:h="249" w:hRule="exact" w:wrap="none" w:vAnchor="page" w:hAnchor="margin" w:x="9972" w:y="8170"/>
        <w:rPr>
          <w:rStyle w:val="C12"/>
          <w:rtl w:val="0"/>
        </w:rPr>
      </w:pPr>
      <w:r>
        <w:rPr>
          <w:rStyle w:val="C12"/>
          <w:rtl w:val="0"/>
        </w:rPr>
        <w:t>3</w:t>
      </w:r>
    </w:p>
    <w:p>
      <w:pPr>
        <w:pStyle w:val="P7"/>
        <w:framePr w:w="8788" w:h="340" w:hRule="exact" w:wrap="none" w:vAnchor="page" w:hAnchor="margin" w:x="28" w:y="8717"/>
        <w:rPr>
          <w:rStyle w:val="C8"/>
          <w:rtl w:val="0"/>
        </w:rPr>
      </w:pPr>
      <w:r>
        <w:rPr>
          <w:rStyle w:val="C8"/>
          <w:rtl w:val="0"/>
        </w:rPr>
        <w:t>Platnost standardu</w:t>
      </w:r>
    </w:p>
    <w:p>
      <w:pPr>
        <w:pStyle w:val="P20"/>
        <w:framePr w:w="2928" w:h="248" w:hRule="exact" w:wrap="none" w:vAnchor="page" w:hAnchor="margin" w:x="28" w:y="905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17:46:55</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Navrhnout výstavbu, opravy nebo údržbu modelové stavby a popsat přípravné projektové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navrhování technologie údržby a oprav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při kompletaci podkladů k vyhotovení projektů výstavby, oprav a údržby staveb a lesních cest</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průběh stavebního řízení až do fáze stavebního povolení</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Orientovat se v projektové dokumentaci výstavby, oprav a údržby staveb a lesních cest, včetně rozpočtu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w:t>
      </w:r>
    </w:p>
    <w:p>
      <w:pPr>
        <w:pStyle w:val="P12"/>
        <w:framePr w:w="6710" w:h="376" w:hRule="exact" w:wrap="none" w:vAnchor="page" w:hAnchor="margin" w:x="45" w:y="6914"/>
        <w:rPr>
          <w:rStyle w:val="C3"/>
          <w:rtl w:val="0"/>
        </w:rPr>
      </w:pPr>
    </w:p>
    <w:p>
      <w:pPr>
        <w:pStyle w:val="P13"/>
        <w:framePr w:w="6658" w:h="249" w:hRule="exact" w:wrap="none" w:vAnchor="page" w:hAnchor="margin" w:x="71" w:y="6970"/>
        <w:rPr>
          <w:rStyle w:val="C11"/>
          <w:rtl w:val="0"/>
        </w:rPr>
      </w:pPr>
      <w:r>
        <w:rPr>
          <w:rStyle w:val="C11"/>
          <w:rtl w:val="0"/>
        </w:rPr>
        <w:t>g) Zařadit hmotný investiční majetek do účetní evidence</w:t>
      </w:r>
    </w:p>
    <w:p>
      <w:pPr>
        <w:pStyle w:val="P28"/>
        <w:framePr w:w="3921" w:h="376" w:hRule="exact" w:wrap="none" w:vAnchor="page" w:hAnchor="margin" w:x="6800" w:y="6914"/>
        <w:rPr>
          <w:rStyle w:val="C3"/>
          <w:rtl w:val="0"/>
        </w:rPr>
      </w:pPr>
    </w:p>
    <w:p>
      <w:pPr>
        <w:pStyle w:val="P29"/>
        <w:framePr w:w="3839" w:h="249" w:hRule="exact" w:wrap="none" w:vAnchor="page" w:hAnchor="margin" w:x="6856" w:y="6970"/>
        <w:rPr>
          <w:rStyle w:val="C21"/>
          <w:rtl w:val="0"/>
        </w:rPr>
      </w:pPr>
      <w:r>
        <w:rPr>
          <w:rStyle w:val="C21"/>
          <w:rtl w:val="0"/>
        </w:rPr>
        <w:t>Praktické předvedení</w:t>
      </w:r>
    </w:p>
    <w:p>
      <w:pPr>
        <w:pStyle w:val="P16"/>
        <w:framePr w:w="6710" w:h="607" w:hRule="exact" w:wrap="none" w:vAnchor="page" w:hAnchor="margin" w:x="45" w:y="7291"/>
        <w:rPr>
          <w:rStyle w:val="C3"/>
          <w:rtl w:val="0"/>
        </w:rPr>
      </w:pPr>
    </w:p>
    <w:p>
      <w:pPr>
        <w:pStyle w:val="P17"/>
        <w:framePr w:w="6658" w:h="480" w:hRule="exact" w:wrap="none" w:vAnchor="page" w:hAnchor="margin" w:x="71" w:y="7347"/>
        <w:rPr>
          <w:rStyle w:val="C13"/>
          <w:rtl w:val="0"/>
        </w:rPr>
      </w:pPr>
      <w:r>
        <w:rPr>
          <w:rStyle w:val="C13"/>
          <w:rtl w:val="0"/>
        </w:rPr>
        <w:t>h) Uvést důvody a způsob provádění inventarizace hmotného investičního majetku</w:t>
      </w:r>
    </w:p>
    <w:p>
      <w:pPr>
        <w:pStyle w:val="P30"/>
        <w:framePr w:w="3921" w:h="607" w:hRule="exact" w:wrap="none" w:vAnchor="page" w:hAnchor="margin" w:x="6800" w:y="7291"/>
        <w:rPr>
          <w:rStyle w:val="C3"/>
          <w:rtl w:val="0"/>
        </w:rPr>
      </w:pPr>
    </w:p>
    <w:p>
      <w:pPr>
        <w:pStyle w:val="P31"/>
        <w:framePr w:w="3839" w:h="480" w:hRule="exact" w:wrap="none" w:vAnchor="page" w:hAnchor="margin" w:x="6856" w:y="7347"/>
        <w:rPr>
          <w:rStyle w:val="C22"/>
          <w:rtl w:val="0"/>
        </w:rPr>
      </w:pPr>
      <w:r>
        <w:rPr>
          <w:rStyle w:val="C22"/>
          <w:rtl w:val="0"/>
        </w:rPr>
        <w:t>Ústní ověření</w:t>
      </w:r>
    </w:p>
    <w:p>
      <w:pPr>
        <w:pStyle w:val="P32"/>
        <w:framePr w:w="10710" w:h="248" w:hRule="exact" w:wrap="none" w:vAnchor="page" w:hAnchor="margin" w:x="28" w:y="8011"/>
        <w:rPr>
          <w:rStyle w:val="C23"/>
          <w:rtl w:val="0"/>
        </w:rPr>
      </w:pPr>
      <w:r>
        <w:rPr>
          <w:rStyle w:val="C23"/>
          <w:rtl w:val="0"/>
        </w:rPr>
        <w:t>Je třeba splnit všechna kritéria.</w:t>
      </w:r>
    </w:p>
    <w:p>
      <w:pPr>
        <w:pStyle w:val="P23"/>
        <w:framePr w:w="10710" w:h="340" w:hRule="exact" w:wrap="none" w:vAnchor="page" w:hAnchor="margin" w:x="28" w:y="8447"/>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Ústní ověření</w:t>
      </w:r>
    </w:p>
    <w:p>
      <w:pPr>
        <w:pStyle w:val="P16"/>
        <w:framePr w:w="6710" w:h="607" w:hRule="exact" w:wrap="none" w:vAnchor="page" w:hAnchor="margin" w:x="45" w:y="9869"/>
        <w:rPr>
          <w:rStyle w:val="C3"/>
          <w:rtl w:val="0"/>
        </w:rPr>
      </w:pPr>
    </w:p>
    <w:p>
      <w:pPr>
        <w:pStyle w:val="P17"/>
        <w:framePr w:w="6658" w:h="480" w:hRule="exact" w:wrap="none" w:vAnchor="page" w:hAnchor="margin" w:x="71" w:y="9925"/>
        <w:rPr>
          <w:rStyle w:val="C13"/>
          <w:rtl w:val="0"/>
        </w:rPr>
      </w:pPr>
      <w:r>
        <w:rPr>
          <w:rStyle w:val="C13"/>
          <w:rtl w:val="0"/>
        </w:rPr>
        <w:t>b) Provést kontrolu povinných náležitostí nájemních smluv na hmotný investiční majetek</w:t>
      </w:r>
    </w:p>
    <w:p>
      <w:pPr>
        <w:pStyle w:val="P30"/>
        <w:framePr w:w="3921" w:h="607" w:hRule="exact" w:wrap="none" w:vAnchor="page" w:hAnchor="margin" w:x="6800" w:y="9869"/>
        <w:rPr>
          <w:rStyle w:val="C3"/>
          <w:rtl w:val="0"/>
        </w:rPr>
      </w:pPr>
    </w:p>
    <w:p>
      <w:pPr>
        <w:pStyle w:val="P31"/>
        <w:framePr w:w="3839" w:h="480" w:hRule="exact" w:wrap="none" w:vAnchor="page" w:hAnchor="margin" w:x="6856" w:y="9925"/>
        <w:rPr>
          <w:rStyle w:val="C22"/>
          <w:rtl w:val="0"/>
        </w:rPr>
      </w:pPr>
      <w:r>
        <w:rPr>
          <w:rStyle w:val="C22"/>
          <w:rtl w:val="0"/>
        </w:rPr>
        <w:t>Praktické předvedení</w:t>
      </w:r>
    </w:p>
    <w:p>
      <w:pPr>
        <w:pStyle w:val="P12"/>
        <w:framePr w:w="6710" w:h="607" w:hRule="exact" w:wrap="none" w:vAnchor="page" w:hAnchor="margin" w:x="45" w:y="10476"/>
        <w:rPr>
          <w:rStyle w:val="C3"/>
          <w:rtl w:val="0"/>
        </w:rPr>
      </w:pPr>
    </w:p>
    <w:p>
      <w:pPr>
        <w:pStyle w:val="P13"/>
        <w:framePr w:w="6658" w:h="480" w:hRule="exact" w:wrap="none" w:vAnchor="page" w:hAnchor="margin" w:x="71" w:y="10532"/>
        <w:rPr>
          <w:rStyle w:val="C11"/>
          <w:rtl w:val="0"/>
        </w:rPr>
      </w:pPr>
      <w:r>
        <w:rPr>
          <w:rStyle w:val="C11"/>
          <w:rtl w:val="0"/>
        </w:rPr>
        <w:t>c) Vysvětlit zásady pro stanovení výše nájemného při pronájmu hmotného investičního majetku a provést výpočet nájemného u modelového příkladu</w:t>
      </w:r>
    </w:p>
    <w:p>
      <w:pPr>
        <w:pStyle w:val="P28"/>
        <w:framePr w:w="3921" w:h="607" w:hRule="exact" w:wrap="none" w:vAnchor="page" w:hAnchor="margin" w:x="6800" w:y="10476"/>
        <w:rPr>
          <w:rStyle w:val="C3"/>
          <w:rtl w:val="0"/>
        </w:rPr>
      </w:pPr>
    </w:p>
    <w:p>
      <w:pPr>
        <w:pStyle w:val="P29"/>
        <w:framePr w:w="3839" w:h="480" w:hRule="exact" w:wrap="none" w:vAnchor="page" w:hAnchor="margin" w:x="6856" w:y="10532"/>
        <w:rPr>
          <w:rStyle w:val="C21"/>
          <w:rtl w:val="0"/>
        </w:rPr>
      </w:pPr>
      <w:r>
        <w:rPr>
          <w:rStyle w:val="C21"/>
          <w:rtl w:val="0"/>
        </w:rPr>
        <w:t>Praktické předvedení a ústní ověření</w:t>
      </w:r>
    </w:p>
    <w:p>
      <w:pPr>
        <w:pStyle w:val="P16"/>
        <w:framePr w:w="6710" w:h="607" w:hRule="exact" w:wrap="none" w:vAnchor="page" w:hAnchor="margin" w:x="45" w:y="11083"/>
        <w:rPr>
          <w:rStyle w:val="C3"/>
          <w:rtl w:val="0"/>
        </w:rPr>
      </w:pPr>
    </w:p>
    <w:p>
      <w:pPr>
        <w:pStyle w:val="P17"/>
        <w:framePr w:w="6658" w:h="480" w:hRule="exact" w:wrap="none" w:vAnchor="page" w:hAnchor="margin" w:x="71" w:y="11139"/>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1083"/>
        <w:rPr>
          <w:rStyle w:val="C3"/>
          <w:rtl w:val="0"/>
        </w:rPr>
      </w:pPr>
    </w:p>
    <w:p>
      <w:pPr>
        <w:pStyle w:val="P31"/>
        <w:framePr w:w="3839" w:h="480" w:hRule="exact" w:wrap="none" w:vAnchor="page" w:hAnchor="margin" w:x="6856" w:y="11139"/>
        <w:rPr>
          <w:rStyle w:val="C22"/>
          <w:rtl w:val="0"/>
        </w:rPr>
      </w:pPr>
      <w:r>
        <w:rPr>
          <w:rStyle w:val="C22"/>
          <w:rtl w:val="0"/>
        </w:rPr>
        <w:t>Praktické předvedení</w:t>
      </w:r>
    </w:p>
    <w:p>
      <w:pPr>
        <w:pStyle w:val="P32"/>
        <w:framePr w:w="10710" w:h="248" w:hRule="exact" w:wrap="none" w:vAnchor="page" w:hAnchor="margin" w:x="28" w:y="11803"/>
        <w:rPr>
          <w:rStyle w:val="C23"/>
          <w:rtl w:val="0"/>
        </w:rPr>
      </w:pPr>
      <w:r>
        <w:rPr>
          <w:rStyle w:val="C23"/>
          <w:rtl w:val="0"/>
        </w:rPr>
        <w:t>Je třeba splnit všechna kritéria.</w:t>
      </w:r>
    </w:p>
    <w:p>
      <w:pPr>
        <w:pStyle w:val="P23"/>
        <w:framePr w:w="10710" w:h="340" w:hRule="exact" w:wrap="none" w:vAnchor="page" w:hAnchor="margin" w:x="28" w:y="12239"/>
        <w:rPr>
          <w:rStyle w:val="C18"/>
          <w:rtl w:val="0"/>
        </w:rPr>
      </w:pPr>
      <w:r>
        <w:rPr>
          <w:rStyle w:val="C18"/>
          <w:rtl w:val="0"/>
        </w:rPr>
        <w:t>Kontrola dodržování technologických postupů ve stavebnictví</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Provést kontrolu zabezpečení inženýrské činnosti související s přípravou a realizací stavby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a ústní ověření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b) Provést kontrolu provedení stavebních prací v souladu s projektovou dokumentací</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Praktické předvedení a ústní ověření</w:t>
      </w:r>
    </w:p>
    <w:p>
      <w:pPr>
        <w:pStyle w:val="P32"/>
        <w:framePr w:w="10710" w:h="248" w:hRule="exact" w:wrap="none" w:vAnchor="page" w:hAnchor="margin" w:x="28" w:y="1438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17:46:55</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stav, opotřebení dopravních prostředků,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Charakterizovat a předvést způsob vedení a náležitosti agendy související s provozem dopravních prostředků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Stanovit výši a délku odpisů dopravních prostředků, strojů a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Praktické předvedení</w:t>
      </w:r>
    </w:p>
    <w:p>
      <w:pPr>
        <w:pStyle w:val="P16"/>
        <w:framePr w:w="6710" w:h="831" w:hRule="exact" w:wrap="none" w:vAnchor="page" w:hAnchor="margin" w:x="45" w:y="7546"/>
        <w:rPr>
          <w:rStyle w:val="C3"/>
          <w:rtl w:val="0"/>
        </w:rPr>
      </w:pPr>
    </w:p>
    <w:p>
      <w:pPr>
        <w:pStyle w:val="P17"/>
        <w:framePr w:w="6658" w:h="704" w:hRule="exact" w:wrap="none" w:vAnchor="page" w:hAnchor="margin" w:x="71" w:y="7602"/>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7546"/>
        <w:rPr>
          <w:rStyle w:val="C3"/>
          <w:rtl w:val="0"/>
        </w:rPr>
      </w:pPr>
    </w:p>
    <w:p>
      <w:pPr>
        <w:pStyle w:val="P31"/>
        <w:framePr w:w="3839" w:h="704" w:hRule="exact" w:wrap="none" w:vAnchor="page" w:hAnchor="margin" w:x="6856" w:y="7602"/>
        <w:rPr>
          <w:rStyle w:val="C22"/>
          <w:rtl w:val="0"/>
        </w:rPr>
      </w:pPr>
      <w:r>
        <w:rPr>
          <w:rStyle w:val="C22"/>
          <w:rtl w:val="0"/>
        </w:rPr>
        <w:t>Ústní ověření</w:t>
      </w:r>
    </w:p>
    <w:p>
      <w:pPr>
        <w:pStyle w:val="P12"/>
        <w:framePr w:w="6710" w:h="376" w:hRule="exact" w:wrap="none" w:vAnchor="page" w:hAnchor="margin" w:x="45" w:y="8377"/>
        <w:rPr>
          <w:rStyle w:val="C3"/>
          <w:rtl w:val="0"/>
        </w:rPr>
      </w:pPr>
    </w:p>
    <w:p>
      <w:pPr>
        <w:pStyle w:val="P13"/>
        <w:framePr w:w="6658" w:h="249" w:hRule="exact" w:wrap="none" w:vAnchor="page" w:hAnchor="margin" w:x="71" w:y="8433"/>
        <w:rPr>
          <w:rStyle w:val="C11"/>
          <w:rtl w:val="0"/>
        </w:rPr>
      </w:pPr>
      <w:r>
        <w:rPr>
          <w:rStyle w:val="C11"/>
          <w:rtl w:val="0"/>
        </w:rPr>
        <w:t>c) Popsat vybavení pracoviště prostředky požární ochrany a BOZP</w:t>
      </w:r>
    </w:p>
    <w:p>
      <w:pPr>
        <w:pStyle w:val="P28"/>
        <w:framePr w:w="3921" w:h="376" w:hRule="exact" w:wrap="none" w:vAnchor="page" w:hAnchor="margin" w:x="6800" w:y="8377"/>
        <w:rPr>
          <w:rStyle w:val="C3"/>
          <w:rtl w:val="0"/>
        </w:rPr>
      </w:pPr>
    </w:p>
    <w:p>
      <w:pPr>
        <w:pStyle w:val="P29"/>
        <w:framePr w:w="3839" w:h="249" w:hRule="exact" w:wrap="none" w:vAnchor="page" w:hAnchor="margin" w:x="6856" w:y="8433"/>
        <w:rPr>
          <w:rStyle w:val="C21"/>
          <w:rtl w:val="0"/>
        </w:rPr>
      </w:pPr>
      <w:r>
        <w:rPr>
          <w:rStyle w:val="C21"/>
          <w:rtl w:val="0"/>
        </w:rPr>
        <w:t>Ústní ověření</w:t>
      </w:r>
    </w:p>
    <w:p>
      <w:pPr>
        <w:pStyle w:val="P16"/>
        <w:framePr w:w="6710" w:h="376" w:hRule="exact" w:wrap="none" w:vAnchor="page" w:hAnchor="margin" w:x="45" w:y="8753"/>
        <w:rPr>
          <w:rStyle w:val="C3"/>
          <w:rtl w:val="0"/>
        </w:rPr>
      </w:pPr>
    </w:p>
    <w:p>
      <w:pPr>
        <w:pStyle w:val="P17"/>
        <w:framePr w:w="6658" w:h="249" w:hRule="exact" w:wrap="none" w:vAnchor="page" w:hAnchor="margin" w:x="71" w:y="8809"/>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8753"/>
        <w:rPr>
          <w:rStyle w:val="C3"/>
          <w:rtl w:val="0"/>
        </w:rPr>
      </w:pPr>
    </w:p>
    <w:p>
      <w:pPr>
        <w:pStyle w:val="P31"/>
        <w:framePr w:w="3839" w:h="249" w:hRule="exact" w:wrap="none" w:vAnchor="page" w:hAnchor="margin" w:x="6856" w:y="8809"/>
        <w:rPr>
          <w:rStyle w:val="C22"/>
          <w:rtl w:val="0"/>
        </w:rPr>
      </w:pPr>
      <w:r>
        <w:rPr>
          <w:rStyle w:val="C22"/>
          <w:rtl w:val="0"/>
        </w:rPr>
        <w:t>Ústní ověření</w:t>
      </w:r>
    </w:p>
    <w:p>
      <w:pPr>
        <w:pStyle w:val="P12"/>
        <w:framePr w:w="6710" w:h="607" w:hRule="exact" w:wrap="none" w:vAnchor="page" w:hAnchor="margin" w:x="45" w:y="9130"/>
        <w:rPr>
          <w:rStyle w:val="C3"/>
          <w:rtl w:val="0"/>
        </w:rPr>
      </w:pPr>
    </w:p>
    <w:p>
      <w:pPr>
        <w:pStyle w:val="P13"/>
        <w:framePr w:w="6658" w:h="480" w:hRule="exact" w:wrap="none" w:vAnchor="page" w:hAnchor="margin" w:x="71" w:y="9186"/>
        <w:rPr>
          <w:rStyle w:val="C11"/>
          <w:rtl w:val="0"/>
        </w:rPr>
      </w:pPr>
      <w:r>
        <w:rPr>
          <w:rStyle w:val="C11"/>
          <w:rtl w:val="0"/>
        </w:rPr>
        <w:t>e) Provést kontrolu zajištění dodržování bezpečnosti a ochrany zdraví při práci a požární ochrany určeného hmotného investičního majetku</w:t>
      </w:r>
    </w:p>
    <w:p>
      <w:pPr>
        <w:pStyle w:val="P28"/>
        <w:framePr w:w="3921" w:h="607" w:hRule="exact" w:wrap="none" w:vAnchor="page" w:hAnchor="margin" w:x="6800" w:y="9130"/>
        <w:rPr>
          <w:rStyle w:val="C3"/>
          <w:rtl w:val="0"/>
        </w:rPr>
      </w:pPr>
    </w:p>
    <w:p>
      <w:pPr>
        <w:pStyle w:val="P29"/>
        <w:framePr w:w="3839" w:h="480" w:hRule="exact" w:wrap="none" w:vAnchor="page" w:hAnchor="margin" w:x="6856" w:y="9186"/>
        <w:rPr>
          <w:rStyle w:val="C21"/>
          <w:rtl w:val="0"/>
        </w:rPr>
      </w:pPr>
      <w:r>
        <w:rPr>
          <w:rStyle w:val="C21"/>
          <w:rtl w:val="0"/>
        </w:rPr>
        <w:t>Praktické předvedení a ústní ověření</w:t>
      </w:r>
    </w:p>
    <w:p>
      <w:pPr>
        <w:pStyle w:val="P32"/>
        <w:framePr w:w="10710" w:h="248" w:hRule="exact" w:wrap="none" w:vAnchor="page" w:hAnchor="margin" w:x="28" w:y="9850"/>
        <w:rPr>
          <w:rStyle w:val="C23"/>
          <w:rtl w:val="0"/>
        </w:rPr>
      </w:pPr>
      <w:r>
        <w:rPr>
          <w:rStyle w:val="C23"/>
          <w:rtl w:val="0"/>
        </w:rPr>
        <w:t>Je třeba splnit všechna kritéria.</w:t>
      </w:r>
    </w:p>
    <w:p>
      <w:pPr>
        <w:pStyle w:val="P23"/>
        <w:framePr w:w="10710" w:h="340" w:hRule="exact" w:wrap="none" w:vAnchor="page" w:hAnchor="margin" w:x="28" w:y="1028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10725"/>
        <w:rPr>
          <w:rStyle w:val="C3"/>
          <w:rtl w:val="0"/>
        </w:rPr>
      </w:pPr>
    </w:p>
    <w:p>
      <w:pPr>
        <w:pStyle w:val="P25"/>
        <w:framePr w:w="6661" w:h="249" w:hRule="exact" w:wrap="none" w:vAnchor="page" w:hAnchor="margin" w:x="71" w:y="10796"/>
        <w:rPr>
          <w:rStyle w:val="C19"/>
          <w:rtl w:val="0"/>
        </w:rPr>
      </w:pPr>
      <w:r>
        <w:rPr>
          <w:rStyle w:val="C19"/>
          <w:rtl w:val="0"/>
        </w:rPr>
        <w:t>Kritéria hodnocení</w:t>
      </w:r>
    </w:p>
    <w:p>
      <w:pPr>
        <w:pStyle w:val="P26"/>
        <w:framePr w:w="3918" w:h="376" w:hRule="exact" w:wrap="none" w:vAnchor="page" w:hAnchor="margin" w:x="6803" w:y="10725"/>
        <w:rPr>
          <w:rStyle w:val="C3"/>
          <w:rtl w:val="0"/>
        </w:rPr>
      </w:pPr>
    </w:p>
    <w:p>
      <w:pPr>
        <w:pStyle w:val="P27"/>
        <w:framePr w:w="3836" w:h="249" w:hRule="exact" w:wrap="none" w:vAnchor="page" w:hAnchor="margin" w:x="6859" w:y="10796"/>
        <w:rPr>
          <w:rStyle w:val="C20"/>
          <w:rtl w:val="0"/>
        </w:rPr>
      </w:pPr>
      <w:r>
        <w:rPr>
          <w:rStyle w:val="C20"/>
          <w:rtl w:val="0"/>
        </w:rPr>
        <w:t>Způsoby ověření</w:t>
      </w:r>
    </w:p>
    <w:p>
      <w:pPr>
        <w:pStyle w:val="P12"/>
        <w:framePr w:w="6710" w:h="607" w:hRule="exact" w:wrap="none" w:vAnchor="page" w:hAnchor="margin" w:x="45" w:y="11101"/>
        <w:rPr>
          <w:rStyle w:val="C3"/>
          <w:rtl w:val="0"/>
        </w:rPr>
      </w:pPr>
    </w:p>
    <w:p>
      <w:pPr>
        <w:pStyle w:val="P13"/>
        <w:framePr w:w="6658" w:h="480" w:hRule="exact" w:wrap="none" w:vAnchor="page" w:hAnchor="margin" w:x="71" w:y="11157"/>
        <w:rPr>
          <w:rStyle w:val="C11"/>
          <w:rtl w:val="0"/>
        </w:rPr>
      </w:pPr>
      <w:r>
        <w:rPr>
          <w:rStyle w:val="C11"/>
          <w:rtl w:val="0"/>
        </w:rPr>
        <w:t>a) Charakterizovat základní pravidla zadávání veřejných zakázek podle platné legislativy</w:t>
      </w:r>
    </w:p>
    <w:p>
      <w:pPr>
        <w:pStyle w:val="P28"/>
        <w:framePr w:w="3921" w:h="607" w:hRule="exact" w:wrap="none" w:vAnchor="page" w:hAnchor="margin" w:x="6800" w:y="11101"/>
        <w:rPr>
          <w:rStyle w:val="C3"/>
          <w:rtl w:val="0"/>
        </w:rPr>
      </w:pPr>
    </w:p>
    <w:p>
      <w:pPr>
        <w:pStyle w:val="P29"/>
        <w:framePr w:w="3839" w:h="480" w:hRule="exact" w:wrap="none" w:vAnchor="page" w:hAnchor="margin" w:x="6856" w:y="11157"/>
        <w:rPr>
          <w:rStyle w:val="C21"/>
          <w:rtl w:val="0"/>
        </w:rPr>
      </w:pPr>
      <w:r>
        <w:rPr>
          <w:rStyle w:val="C21"/>
          <w:rtl w:val="0"/>
        </w:rPr>
        <w:t>Ústní ověření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Ústní ověření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Vyhotovit podklady pro veřejnou zakázku malého rozsahu na opravy určeného hmotného investičního majetku</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 a ústní ověření</w:t>
      </w:r>
    </w:p>
    <w:p>
      <w:pPr>
        <w:pStyle w:val="P16"/>
        <w:framePr w:w="6710" w:h="831" w:hRule="exact" w:wrap="none" w:vAnchor="page" w:hAnchor="margin" w:x="45" w:y="12922"/>
        <w:rPr>
          <w:rStyle w:val="C3"/>
          <w:rtl w:val="0"/>
        </w:rPr>
      </w:pPr>
    </w:p>
    <w:p>
      <w:pPr>
        <w:pStyle w:val="P17"/>
        <w:framePr w:w="6658" w:h="704" w:hRule="exact" w:wrap="none" w:vAnchor="page" w:hAnchor="margin" w:x="71" w:y="12978"/>
        <w:rPr>
          <w:rStyle w:val="C13"/>
          <w:rtl w:val="0"/>
        </w:rPr>
      </w:pPr>
      <w:r>
        <w:rPr>
          <w:rStyle w:val="C13"/>
          <w:rtl w:val="0"/>
        </w:rPr>
        <w:t>d) Vyjmenovat možnosti čerpání finančních prostředků z národních i evropských dotačních titulů pro pořízení hmotného investičního majetku (budovy, stroje, dopravní prostředky)</w:t>
      </w:r>
    </w:p>
    <w:p>
      <w:pPr>
        <w:pStyle w:val="P30"/>
        <w:framePr w:w="3921" w:h="831" w:hRule="exact" w:wrap="none" w:vAnchor="page" w:hAnchor="margin" w:x="6800" w:y="12922"/>
        <w:rPr>
          <w:rStyle w:val="C3"/>
          <w:rtl w:val="0"/>
        </w:rPr>
      </w:pPr>
    </w:p>
    <w:p>
      <w:pPr>
        <w:pStyle w:val="P31"/>
        <w:framePr w:w="3839" w:h="704" w:hRule="exact" w:wrap="none" w:vAnchor="page" w:hAnchor="margin" w:x="6856" w:y="12978"/>
        <w:rPr>
          <w:rStyle w:val="C22"/>
          <w:rtl w:val="0"/>
        </w:rPr>
      </w:pPr>
      <w:r>
        <w:rPr>
          <w:rStyle w:val="C22"/>
          <w:rtl w:val="0"/>
        </w:rPr>
        <w:t>Ústní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e) Vyhotovit podklady pro žádost o dotace na nákup hmotného investičního majetku na základě vyhlášeného dotačního titulu</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Praktické předvedení a ústní ověření</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17:46:55</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odpadového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klasifikaci odpadů podle katalogu odpadů a zařadit pět položek odpadu podle druhů a kategorie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likvidace jednotlivých druhů odpadů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vedení evidence o odpadech a způsobech nakládání s nimi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Vyplnit roční hlášení o produkci a nakládání s odpady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17:46:55</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zkušební místnosti.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 Totéž platí i pro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Kontrola a dodržování technologických postupů ve stavebnictví."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popř. modelovými nájemními smlouvami a vzorovými znaleckými posudky.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17:46:55</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nebo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41-068-M Technický pracovník / technická pracovnice pro hmotný a investiční majetek v lesním hospodářství a střední vzdělání s maturitní zkouškou a alespoň 5 let odborné praxe na úseku správy hmotného investičního majetku.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17:46:55</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projektová dokumentace výstavby, údržby nebo opravy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Rozpočet výstavby, údržby nebo opravy hmotného investičního majetku vztahující se k projektové dokumentaci využité ke zkoušce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znalecký posudek o ceně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Účetní tabulky pro zařazování HIM do skupin a tříd majetku z hlediska odvětví a odpisových sazeb (zákon o účetnictví)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Modelová data potřebná pro určení potřeby obnovy vozového a strojového parku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nájemní smlouva, modelová data potřebná pro stanovení nájemného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k BOZP a PO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zadávání veřejných zakázek č. 134/2016 Sb., ve znění pozdějších předpisů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potřebné pro vyhlášení zakázky malého rozsahu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odpadech č. 185/2001 Sb., ve znění pozdějších předpisů, katalog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evidence o odpadech a příklady položek odpadů pro zařazení do kategorie odpadů dle Katalogu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formulář ročního hlášení o odpadech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počítačem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sklonoměr, laserový dálkoměr, kolečko na měření vzdálenosti, navíjecí pásmo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17:46:55</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31.7.2026 17:46:55</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8257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