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479A6F" Type="http://schemas.openxmlformats.org/officeDocument/2006/relationships/officeDocument" Target="/word/document.xml" /><Relationship Id="coreR9479A6F" Type="http://schemas.openxmlformats.org/package/2006/relationships/metadata/core-properties" Target="/docProps/core.xml" /><Relationship Id="customR9479A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 kožešin (kód: 32-021-H)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Úpravář kožešin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koželužské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kožedělných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 kožedělné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koželužských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koželužských strojů a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a opracování kožešin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Činění kožešin včetně přípravy roztoků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a zpracování kožešin po činění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Vstupní, výstupní a mezioperační kontrola surovin, materiálů, polotovarů a výrobků v kožedělné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kvality kožešin a kožešinových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29.06.2015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kožešin, 29.10.2026 1:41:39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http://katalog.nsp.cz/karta_p.aspx?id_jp=37&amp;kod_sm1=30).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povolání v určitém úseku kožedělné výroby.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a opracování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c) jakou pracovní operaci bude uchazeč provádět (výspravu, barvení a následné třídění vydělaných či barvených kožešin, střihání, žehlení, vystřihování a vytrhávání pesíků).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provedení.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kožešin, 29.10.2026 1:41:39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Tomáše Bati ve Zlíně, fakulta technologická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kožešin, 29.10.2026 1:41:39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