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0D7C1D" Type="http://schemas.openxmlformats.org/officeDocument/2006/relationships/officeDocument" Target="/word/document.xml" /><Relationship Id="coreR5C0D7C1D" Type="http://schemas.openxmlformats.org/package/2006/relationships/metadata/core-properties" Target="/docProps/core.xml" /><Relationship Id="customR5C0D7C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 samostatná kožařská technička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 samostatná kožařská technička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409" w:hRule="exact" w:wrap="none" w:vAnchor="page" w:hAnchor="margin" w:x="28" w:y="15861"/>
        <w:rPr>
          <w:rStyle w:val="C16"/>
          <w:rtl w:val="0"/>
        </w:rPr>
      </w:pPr>
      <w:r>
        <w:rPr>
          <w:rStyle w:val="C16"/>
          <w:rtl w:val="0"/>
        </w:rPr>
        <w:t>Samostatný kožařský technik / samostatná kožařská technička řízení a kontroly kvality, 29.4.2026 1:40:02</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F30B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333C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