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F3A72" Type="http://schemas.openxmlformats.org/officeDocument/2006/relationships/officeDocument" Target="/word/document.xml" /><Relationship Id="coreRCEF3A72" Type="http://schemas.openxmlformats.org/package/2006/relationships/metadata/core-properties" Target="/docProps/core.xml" /><Relationship Id="customRCEF3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kožešin a usní včetně přípravy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koželužské výroby. Autorizovaná osoba určí druh výrobku a jeho parametry, ke kterému se budou vztahovat zadané úkoly, a to podle zaměření konkrétní kožedělné výroby a místa konání zkoušky.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Činění usní a kožešin včetně přípravy roztoků; Úprava a zpracování usní a kožešin po činění; Posuzování kvality usní a kožešin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zda bude kompetence zaměřena na kožešinový nebo usňový materiál.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usní a kožešin, kritérium a), autorizovaná osoba zadá počet vzorků (v minimálním počtu 5 - maximálně 10 vzorků) podle zaměření konkrétní kožedělné výroby a místa konání zkoušky. 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29.10.2026 2:23:40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