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38C409" Type="http://schemas.openxmlformats.org/officeDocument/2006/relationships/officeDocument" Target="/word/document.xml" /><Relationship Id="coreR1638C409" Type="http://schemas.openxmlformats.org/package/2006/relationships/metadata/core-properties" Target="/docProps/core.xml" /><Relationship Id="customR1638C4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výrobu a opravy scénické obuvi, určit tři předložené vzorky kůží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pro antiku, renesanci a rokoko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w:t>
        <w:br w:type="textWrapping"/>
        <w:t>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(šídlo, jehly, kleště,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obuvnické materiály a obuv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scénické a krojové obuvi nebo na výrobu obuvi + střední vzdělání s maturitní zkouškou v příslušném nástavbovém oboru vzdělání a alespoň 5 let odborné praxe v oblasti zhotovování scénické obuvi pro divadelní, televizní nebo filmovou tvorbu nebo pro taneční soubory nebo jiné kulturní subjekty, nebo ve funkci učitele odborného výcviku v oblasti výroby scénické obuvi,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scénické a krojové obuvi nebo obuvnickou technologii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v oblasti obuvnictví,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32-012-H Obuvník scénické obuvi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scénické obuvi pro divadelní, televizní nebo filmovou tvorbu nebo pro taneční soubory nebo jiné kulturní subjekty,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prostorná, přiměřeně temperovaná místnost s možností odvětrání (odsávání), s denním i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Obuvník scénické obuvi, 2.8.2026 3:42:50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013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8E36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