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3BABB" Type="http://schemas.openxmlformats.org/officeDocument/2006/relationships/officeDocument" Target="/word/document.xml" /><Relationship Id="coreR3823BABB" Type="http://schemas.openxmlformats.org/package/2006/relationships/metadata/core-properties" Target="/docProps/core.xml" /><Relationship Id="customR3823BA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výrobu a opravy scénické obuvi, určit tři předložené vzorky kůží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pro antiku, renesanci a rokoko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w:t>
        <w:br w:type="textWrapping"/>
        <w:t>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(šídlo, jehly, kleště,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obuvnické materiály a obuv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scénické a krojové obuvi nebo na výrobu obuvi + střední vzdělání s maturitní zkouškou v příslušném nástavbovém oboru vzdělání a alespoň 5 let odborné praxe v oblasti zhotovování scénické obuvi pro divadelní, televizní nebo filmovou tvorbu nebo pro taneční soubory nebo jiné kulturní subjekty, nebo ve funkci učitele odborného výcviku v oblasti výroby scénické obuvi,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scénické a krojové obuvi nebo obuvnickou technologii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v oblasti obuvnictví,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32-012-H Obuvník scénické obuvi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scénické obuvi pro divadelní, televizní nebo filmovou tvorbu nebo pro taneční soubory nebo jiné kulturní subjekty,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prostorná, přiměřeně temperovaná místnost s možností odvětrání (odsávání), s denním i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Obuvník scénické obuvi, 16.9.2026 22:26:06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C7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146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