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B93E6" Type="http://schemas.openxmlformats.org/officeDocument/2006/relationships/officeDocument" Target="/word/document.xml" /><Relationship Id="coreR1CDB93E6" Type="http://schemas.openxmlformats.org/package/2006/relationships/metadata/core-properties" Target="/docProps/core.xml" /><Relationship Id="customR1CDB93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 modelů a forem v keramické výrobě (kód: 28-056-N)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Vizualizace - převedení výkresu a dokumentace do 3D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výrobních technologií při výrobě modelů a forem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3D modelování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mít problémy s viděním, znemožňující hodnocení výstupů na monitoru a tiskárně.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"3D modelování v keramické výrobě" u kritérií n), o), p), q) postačuje provedení dílčích operací podle zadání autorizované osoby. Požadavek na provedení dílčích operací je definován z důvodu časové úspory, protože některé textury se skenují až 8 hodin.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tisku na 3D tiskárně půjde o provedení přípravy k tisku a zahájení tisku. Z časových a ekonomických důvodů nebude prováděn celkový tisk modelu nebo části formy.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univerzita v Liberci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– Jihokov,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Benedikt, s. r. o.,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Consulting Service,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modelů a forem v keramické výrobě,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