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7A2B" Type="http://schemas.openxmlformats.org/officeDocument/2006/relationships/officeDocument" Target="/word/document.xml" /><Relationship Id="coreR17E7A2B" Type="http://schemas.openxmlformats.org/package/2006/relationships/metadata/core-properties" Target="/docProps/core.xml" /><Relationship Id="customR17E7A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památkového objektu (kód: 82-018-M)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normách ve vztahu ke správě památkového objektu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správy památkového objektu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rozpočtu pro provoz a údržbu památkového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Správa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uzavírání smluv v oblasti nákupu, pronájmu, údržby a správy majetku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bezpečnosti památkového objektu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problémů souvisejících s péčí o památkové objekty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památkového objektu, 27.10.2026 1:34:29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vytvoří pro odbornou způsobilost Orientace v právních normách ve vztahu ke správě památkového objektu písemný test; ke každému kritériu nejméně 5 otázek, celkem nejméně 25 otázek.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památkového objektu, 27.10.2026 1:34:29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Památník národního písemnictví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památkového objektu, 27.10.2026 1:34:29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