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B4256" Type="http://schemas.openxmlformats.org/officeDocument/2006/relationships/officeDocument" Target="/word/document.xml" /><Relationship Id="coreR23CB4256" Type="http://schemas.openxmlformats.org/package/2006/relationships/metadata/core-properties" Target="/docProps/core.xml" /><Relationship Id="customR23CB42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památkového objektu (kód: 82-018-M)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normách ve vztahu ke správě památkového objektu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správy památkového objektu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rozpočtu pro provoz a údržbu památkového objektu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Správa památkového objektu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a uzavírání smluv v oblasti nákupu, pronájmu, údržby a správy majetku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Zajištění bezpečnosti památkového objektu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Řešení problémů souvisejících s péčí o památkové objekty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památkového objektu,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vytvoří pro odbornou způsobilost Orientace v právních normách ve vztahu ke správě památkového objektu písemný test; ke každému kritériu nejméně 5 otázek, celkem nejméně 25 otázek.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památkového objektu,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muzeum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Památník národního písemnictví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Muzeum Hlavního města Prahy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univerzita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památkového objektu,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