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B25A31" Type="http://schemas.openxmlformats.org/officeDocument/2006/relationships/officeDocument" Target="/word/document.xml" /><Relationship Id="coreR54B25A31" Type="http://schemas.openxmlformats.org/package/2006/relationships/metadata/core-properties" Target="/docProps/core.xml" /><Relationship Id="customR54B25A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památkového objektu (kód: 82-018-M)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normách ve vztahu ke správě památkového objektu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správy památkového objektu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rozpočtu pro provoz a údržbu památkového objektu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Správa památkového objektu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uzavírání smluv v oblasti nákupu, pronájmu, údržby a správy majetku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Zajištění bezpečnosti památkového objektu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Řešení problémů souvisejících s péčí o památkové objekty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památkového objektu, 28.4.2026 19:57:04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normách ve vztahu ke správě památkového objektu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zákoníku práce č. 262/2006 Sb., ve znění pozdějších předpisů (objasnit druhy pracovních smluv, uvést možnosti výpovědi vč. termínů dle zákona, dovolená dle zákona)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1952" w:hRule="exact" w:wrap="none" w:vAnchor="page" w:hAnchor="margin" w:x="45" w:y="4358"/>
        <w:rPr>
          <w:rStyle w:val="C3"/>
          <w:rtl w:val="0"/>
        </w:rPr>
      </w:pPr>
    </w:p>
    <w:p>
      <w:pPr>
        <w:pStyle w:val="P17"/>
        <w:framePr w:w="6658" w:h="1825" w:hRule="exact" w:wrap="none" w:vAnchor="page" w:hAnchor="margin" w:x="71" w:y="4414"/>
        <w:rPr>
          <w:rStyle w:val="C13"/>
          <w:rtl w:val="0"/>
        </w:rPr>
      </w:pPr>
      <w:r>
        <w:rPr>
          <w:rStyle w:val="C13"/>
          <w:rtl w:val="0"/>
        </w:rPr>
        <w:t>b) Orientovat se v novém občanském zákoníku (zákon č. 89/2012 Sb., ve znění pozdějších předpisů, občanský zákoník) a v novém zákoně o obchodních korporacích (zákon č. 90/2012 Sb., ve znění pozdějších předpisů, o obchodních společnostech a družstvech (zákon o obchodních korporacích) (objasnit typy obchodních smluv, základní údaje ve smlouvě, rozdíl mezi občanským zákoníkem a zákonem o obchodních korporacích ve vztahu k obchodním smlouvám, co je to nájemní smlouva, vyjmenovat účastníky nájemní smlouvy)</w:t>
      </w:r>
    </w:p>
    <w:p>
      <w:pPr>
        <w:pStyle w:val="P30"/>
        <w:framePr w:w="3921" w:h="1952" w:hRule="exact" w:wrap="none" w:vAnchor="page" w:hAnchor="margin" w:x="6800" w:y="4358"/>
        <w:rPr>
          <w:rStyle w:val="C3"/>
          <w:rtl w:val="0"/>
        </w:rPr>
      </w:pPr>
    </w:p>
    <w:p>
      <w:pPr>
        <w:pStyle w:val="P31"/>
        <w:framePr w:w="3839" w:h="1825" w:hRule="exact" w:wrap="none" w:vAnchor="page" w:hAnchor="margin" w:x="6856" w:y="4414"/>
        <w:rPr>
          <w:rStyle w:val="C22"/>
          <w:rtl w:val="0"/>
        </w:rPr>
      </w:pPr>
      <w:r>
        <w:rPr>
          <w:rStyle w:val="C22"/>
          <w:rtl w:val="0"/>
        </w:rPr>
        <w:t>Písemné ověření</w:t>
      </w:r>
    </w:p>
    <w:p>
      <w:pPr>
        <w:pStyle w:val="P12"/>
        <w:framePr w:w="6710" w:h="831" w:hRule="exact" w:wrap="none" w:vAnchor="page" w:hAnchor="margin" w:x="45" w:y="6311"/>
        <w:rPr>
          <w:rStyle w:val="C3"/>
          <w:rtl w:val="0"/>
        </w:rPr>
      </w:pPr>
    </w:p>
    <w:p>
      <w:pPr>
        <w:pStyle w:val="P13"/>
        <w:framePr w:w="6658" w:h="704" w:hRule="exact" w:wrap="none" w:vAnchor="page" w:hAnchor="margin" w:x="71" w:y="6367"/>
        <w:rPr>
          <w:rStyle w:val="C11"/>
          <w:rtl w:val="0"/>
        </w:rPr>
      </w:pPr>
      <w:r>
        <w:rPr>
          <w:rStyle w:val="C11"/>
          <w:rtl w:val="0"/>
        </w:rPr>
        <w:t>c) Orientovat se v zákoně o památkové péči č.20/1987 Sb., ve znění pozdějších předpisů (objasnit základní teze zákona a jeho použití ve vztahu ke správě památkového objektu)</w:t>
      </w:r>
    </w:p>
    <w:p>
      <w:pPr>
        <w:pStyle w:val="P28"/>
        <w:framePr w:w="3921" w:h="831" w:hRule="exact" w:wrap="none" w:vAnchor="page" w:hAnchor="margin" w:x="6800" w:y="6311"/>
        <w:rPr>
          <w:rStyle w:val="C3"/>
          <w:rtl w:val="0"/>
        </w:rPr>
      </w:pPr>
    </w:p>
    <w:p>
      <w:pPr>
        <w:pStyle w:val="P29"/>
        <w:framePr w:w="3839" w:h="704" w:hRule="exact" w:wrap="none" w:vAnchor="page" w:hAnchor="margin" w:x="6856" w:y="6367"/>
        <w:rPr>
          <w:rStyle w:val="C21"/>
          <w:rtl w:val="0"/>
        </w:rPr>
      </w:pPr>
      <w:r>
        <w:rPr>
          <w:rStyle w:val="C21"/>
          <w:rtl w:val="0"/>
        </w:rPr>
        <w:t>Písemné ověření</w:t>
      </w:r>
    </w:p>
    <w:p>
      <w:pPr>
        <w:pStyle w:val="P16"/>
        <w:framePr w:w="6710" w:h="607" w:hRule="exact" w:wrap="none" w:vAnchor="page" w:hAnchor="margin" w:x="45" w:y="7142"/>
        <w:rPr>
          <w:rStyle w:val="C3"/>
          <w:rtl w:val="0"/>
        </w:rPr>
      </w:pPr>
    </w:p>
    <w:p>
      <w:pPr>
        <w:pStyle w:val="P17"/>
        <w:framePr w:w="6658" w:h="480" w:hRule="exact" w:wrap="none" w:vAnchor="page" w:hAnchor="margin" w:x="71" w:y="7198"/>
        <w:rPr>
          <w:rStyle w:val="C13"/>
          <w:rtl w:val="0"/>
        </w:rPr>
      </w:pPr>
      <w:r>
        <w:rPr>
          <w:rStyle w:val="C13"/>
          <w:rtl w:val="0"/>
        </w:rPr>
        <w:t>d) Orientovat se v zákoně o veřejných zakázkách č.137/ 2006 Sb., ve znění pozdějších předpisů, objasnit typy veřejných zakázek dle finančního limitu</w:t>
      </w:r>
    </w:p>
    <w:p>
      <w:pPr>
        <w:pStyle w:val="P30"/>
        <w:framePr w:w="3921" w:h="607" w:hRule="exact" w:wrap="none" w:vAnchor="page" w:hAnchor="margin" w:x="6800" w:y="7142"/>
        <w:rPr>
          <w:rStyle w:val="C3"/>
          <w:rtl w:val="0"/>
        </w:rPr>
      </w:pPr>
    </w:p>
    <w:p>
      <w:pPr>
        <w:pStyle w:val="P31"/>
        <w:framePr w:w="3839" w:h="480" w:hRule="exact" w:wrap="none" w:vAnchor="page" w:hAnchor="margin" w:x="6856" w:y="7198"/>
        <w:rPr>
          <w:rStyle w:val="C22"/>
          <w:rtl w:val="0"/>
        </w:rPr>
      </w:pPr>
      <w:r>
        <w:rPr>
          <w:rStyle w:val="C22"/>
          <w:rtl w:val="0"/>
        </w:rPr>
        <w:t>Písemné ověření</w:t>
      </w:r>
    </w:p>
    <w:p>
      <w:pPr>
        <w:pStyle w:val="P12"/>
        <w:framePr w:w="6710" w:h="1055" w:hRule="exact" w:wrap="none" w:vAnchor="page" w:hAnchor="margin" w:x="45" w:y="7749"/>
        <w:rPr>
          <w:rStyle w:val="C3"/>
          <w:rtl w:val="0"/>
        </w:rPr>
      </w:pPr>
    </w:p>
    <w:p>
      <w:pPr>
        <w:pStyle w:val="P13"/>
        <w:framePr w:w="6658" w:h="928" w:hRule="exact" w:wrap="none" w:vAnchor="page" w:hAnchor="margin" w:x="71" w:y="7805"/>
        <w:rPr>
          <w:rStyle w:val="C11"/>
          <w:rtl w:val="0"/>
        </w:rPr>
      </w:pPr>
      <w:r>
        <w:rPr>
          <w:rStyle w:val="C11"/>
          <w:rtl w:val="0"/>
        </w:rPr>
        <w:t>e) Orientovat se v zákoně č. 183/2006 Sb., ve znění pozdějších předpisů, o územním plánování a stavebním řádu (stavební zákon) v aktuálním znění, objasnit postup jednání se stavebním úřadem při celkové nebo částečné rekonstrukci památkového objektu</w:t>
      </w:r>
    </w:p>
    <w:p>
      <w:pPr>
        <w:pStyle w:val="P28"/>
        <w:framePr w:w="3921" w:h="1055" w:hRule="exact" w:wrap="none" w:vAnchor="page" w:hAnchor="margin" w:x="6800" w:y="7749"/>
        <w:rPr>
          <w:rStyle w:val="C3"/>
          <w:rtl w:val="0"/>
        </w:rPr>
      </w:pPr>
    </w:p>
    <w:p>
      <w:pPr>
        <w:pStyle w:val="P29"/>
        <w:framePr w:w="3839" w:h="928" w:hRule="exact" w:wrap="none" w:vAnchor="page" w:hAnchor="margin" w:x="6856" w:y="7805"/>
        <w:rPr>
          <w:rStyle w:val="C21"/>
          <w:rtl w:val="0"/>
        </w:rPr>
      </w:pPr>
      <w:r>
        <w:rPr>
          <w:rStyle w:val="C21"/>
          <w:rtl w:val="0"/>
        </w:rPr>
        <w:t>Písemné ověření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340" w:hRule="exact" w:wrap="none" w:vAnchor="page" w:hAnchor="margin" w:x="28" w:y="9353"/>
        <w:rPr>
          <w:rStyle w:val="C18"/>
          <w:rtl w:val="0"/>
        </w:rPr>
      </w:pPr>
      <w:r>
        <w:rPr>
          <w:rStyle w:val="C18"/>
          <w:rtl w:val="0"/>
        </w:rPr>
        <w:t>Vedení evidence správy památkového objektu</w:t>
      </w:r>
    </w:p>
    <w:p>
      <w:pPr>
        <w:pStyle w:val="P24"/>
        <w:framePr w:w="6713" w:h="376" w:hRule="exact" w:wrap="none" w:vAnchor="page" w:hAnchor="margin" w:x="45" w:y="9792"/>
        <w:rPr>
          <w:rStyle w:val="C3"/>
          <w:rtl w:val="0"/>
        </w:rPr>
      </w:pPr>
    </w:p>
    <w:p>
      <w:pPr>
        <w:pStyle w:val="P25"/>
        <w:framePr w:w="6661" w:h="249" w:hRule="exact" w:wrap="none" w:vAnchor="page" w:hAnchor="margin" w:x="71" w:y="9863"/>
        <w:rPr>
          <w:rStyle w:val="C19"/>
          <w:rtl w:val="0"/>
        </w:rPr>
      </w:pPr>
      <w:r>
        <w:rPr>
          <w:rStyle w:val="C19"/>
          <w:rtl w:val="0"/>
        </w:rPr>
        <w:t>Kritéria hodnocení</w:t>
      </w:r>
    </w:p>
    <w:p>
      <w:pPr>
        <w:pStyle w:val="P26"/>
        <w:framePr w:w="3918" w:h="376" w:hRule="exact" w:wrap="none" w:vAnchor="page" w:hAnchor="margin" w:x="6803" w:y="9792"/>
        <w:rPr>
          <w:rStyle w:val="C3"/>
          <w:rtl w:val="0"/>
        </w:rPr>
      </w:pPr>
    </w:p>
    <w:p>
      <w:pPr>
        <w:pStyle w:val="P27"/>
        <w:framePr w:w="3836" w:h="249" w:hRule="exact" w:wrap="none" w:vAnchor="page" w:hAnchor="margin" w:x="6859" w:y="9863"/>
        <w:rPr>
          <w:rStyle w:val="C20"/>
          <w:rtl w:val="0"/>
        </w:rPr>
      </w:pPr>
      <w:r>
        <w:rPr>
          <w:rStyle w:val="C20"/>
          <w:rtl w:val="0"/>
        </w:rPr>
        <w:t>Způsoby ověření</w:t>
      </w:r>
    </w:p>
    <w:p>
      <w:pPr>
        <w:pStyle w:val="P12"/>
        <w:framePr w:w="6710" w:h="607" w:hRule="exact" w:wrap="none" w:vAnchor="page" w:hAnchor="margin" w:x="45" w:y="10168"/>
        <w:rPr>
          <w:rStyle w:val="C3"/>
          <w:rtl w:val="0"/>
        </w:rPr>
      </w:pPr>
    </w:p>
    <w:p>
      <w:pPr>
        <w:pStyle w:val="P13"/>
        <w:framePr w:w="6658" w:h="480" w:hRule="exact" w:wrap="none" w:vAnchor="page" w:hAnchor="margin" w:x="71" w:y="10224"/>
        <w:rPr>
          <w:rStyle w:val="C11"/>
          <w:rtl w:val="0"/>
        </w:rPr>
      </w:pPr>
      <w:r>
        <w:rPr>
          <w:rStyle w:val="C11"/>
          <w:rtl w:val="0"/>
        </w:rPr>
        <w:t>a) Zpracovat evidenci majetku v dané místnosti dle předloženého plánu (v tabulkovém procesoru – MS Excel)</w:t>
      </w:r>
    </w:p>
    <w:p>
      <w:pPr>
        <w:pStyle w:val="P28"/>
        <w:framePr w:w="3921" w:h="607" w:hRule="exact" w:wrap="none" w:vAnchor="page" w:hAnchor="margin" w:x="6800" w:y="10168"/>
        <w:rPr>
          <w:rStyle w:val="C3"/>
          <w:rtl w:val="0"/>
        </w:rPr>
      </w:pPr>
    </w:p>
    <w:p>
      <w:pPr>
        <w:pStyle w:val="P29"/>
        <w:framePr w:w="3839" w:h="480" w:hRule="exact" w:wrap="none" w:vAnchor="page" w:hAnchor="margin" w:x="6856" w:y="10224"/>
        <w:rPr>
          <w:rStyle w:val="C21"/>
          <w:rtl w:val="0"/>
        </w:rPr>
      </w:pPr>
      <w:r>
        <w:rPr>
          <w:rStyle w:val="C21"/>
          <w:rtl w:val="0"/>
        </w:rPr>
        <w:t>Praktické předvedení</w:t>
      </w:r>
    </w:p>
    <w:p>
      <w:pPr>
        <w:pStyle w:val="P16"/>
        <w:framePr w:w="6710" w:h="607" w:hRule="exact" w:wrap="none" w:vAnchor="page" w:hAnchor="margin" w:x="45" w:y="10775"/>
        <w:rPr>
          <w:rStyle w:val="C3"/>
          <w:rtl w:val="0"/>
        </w:rPr>
      </w:pPr>
    </w:p>
    <w:p>
      <w:pPr>
        <w:pStyle w:val="P17"/>
        <w:framePr w:w="6658" w:h="480" w:hRule="exact" w:wrap="none" w:vAnchor="page" w:hAnchor="margin" w:x="71" w:y="10831"/>
        <w:rPr>
          <w:rStyle w:val="C13"/>
          <w:rtl w:val="0"/>
        </w:rPr>
      </w:pPr>
      <w:r>
        <w:rPr>
          <w:rStyle w:val="C13"/>
          <w:rtl w:val="0"/>
        </w:rPr>
        <w:t>b) Zpracovat evidenci docházky pracovníků (v tabulkovém procesoru – MS Excel) – za jeden průběžný měsíc</w:t>
      </w:r>
    </w:p>
    <w:p>
      <w:pPr>
        <w:pStyle w:val="P30"/>
        <w:framePr w:w="3921" w:h="607" w:hRule="exact" w:wrap="none" w:vAnchor="page" w:hAnchor="margin" w:x="6800" w:y="10775"/>
        <w:rPr>
          <w:rStyle w:val="C3"/>
          <w:rtl w:val="0"/>
        </w:rPr>
      </w:pPr>
    </w:p>
    <w:p>
      <w:pPr>
        <w:pStyle w:val="P31"/>
        <w:framePr w:w="3839" w:h="480" w:hRule="exact" w:wrap="none" w:vAnchor="page" w:hAnchor="margin" w:x="6856" w:y="10831"/>
        <w:rPr>
          <w:rStyle w:val="C22"/>
          <w:rtl w:val="0"/>
        </w:rPr>
      </w:pPr>
      <w:r>
        <w:rPr>
          <w:rStyle w:val="C22"/>
          <w:rtl w:val="0"/>
        </w:rPr>
        <w:t>Praktické předvedení</w:t>
      </w:r>
    </w:p>
    <w:p>
      <w:pPr>
        <w:pStyle w:val="P12"/>
        <w:framePr w:w="6710" w:h="607" w:hRule="exact" w:wrap="none" w:vAnchor="page" w:hAnchor="margin" w:x="45" w:y="11382"/>
        <w:rPr>
          <w:rStyle w:val="C3"/>
          <w:rtl w:val="0"/>
        </w:rPr>
      </w:pPr>
    </w:p>
    <w:p>
      <w:pPr>
        <w:pStyle w:val="P13"/>
        <w:framePr w:w="6658" w:h="480" w:hRule="exact" w:wrap="none" w:vAnchor="page" w:hAnchor="margin" w:x="71" w:y="11438"/>
        <w:rPr>
          <w:rStyle w:val="C11"/>
          <w:rtl w:val="0"/>
        </w:rPr>
      </w:pPr>
      <w:r>
        <w:rPr>
          <w:rStyle w:val="C11"/>
          <w:rtl w:val="0"/>
        </w:rPr>
        <w:t>c) Zpracovat přehled drobného nákupu, běžný nákup drobného vydání, placeno hotově (v tabulkovém procesoru – MS Excel) – min. 6 položek</w:t>
      </w:r>
    </w:p>
    <w:p>
      <w:pPr>
        <w:pStyle w:val="P28"/>
        <w:framePr w:w="3921" w:h="607" w:hRule="exact" w:wrap="none" w:vAnchor="page" w:hAnchor="margin" w:x="6800" w:y="11382"/>
        <w:rPr>
          <w:rStyle w:val="C3"/>
          <w:rtl w:val="0"/>
        </w:rPr>
      </w:pPr>
    </w:p>
    <w:p>
      <w:pPr>
        <w:pStyle w:val="P29"/>
        <w:framePr w:w="3839" w:h="480" w:hRule="exact" w:wrap="none" w:vAnchor="page" w:hAnchor="margin" w:x="6856" w:y="11438"/>
        <w:rPr>
          <w:rStyle w:val="C21"/>
          <w:rtl w:val="0"/>
        </w:rPr>
      </w:pPr>
      <w:r>
        <w:rPr>
          <w:rStyle w:val="C21"/>
          <w:rtl w:val="0"/>
        </w:rPr>
        <w:t>Praktické předvedení</w:t>
      </w:r>
    </w:p>
    <w:p>
      <w:pPr>
        <w:pStyle w:val="P16"/>
        <w:framePr w:w="6710" w:h="607" w:hRule="exact" w:wrap="none" w:vAnchor="page" w:hAnchor="margin" w:x="45" w:y="11989"/>
        <w:rPr>
          <w:rStyle w:val="C3"/>
          <w:rtl w:val="0"/>
        </w:rPr>
      </w:pPr>
    </w:p>
    <w:p>
      <w:pPr>
        <w:pStyle w:val="P17"/>
        <w:framePr w:w="6658" w:h="480" w:hRule="exact" w:wrap="none" w:vAnchor="page" w:hAnchor="margin" w:x="71" w:y="12045"/>
        <w:rPr>
          <w:rStyle w:val="C13"/>
          <w:rtl w:val="0"/>
        </w:rPr>
      </w:pPr>
      <w:r>
        <w:rPr>
          <w:rStyle w:val="C13"/>
          <w:rtl w:val="0"/>
        </w:rPr>
        <w:t>d) Provést kontrolu majetku dle předložené účetní dokumentace, která obsahuje seznam věcí v dané místnosti podle evidenčních čísel</w:t>
      </w:r>
    </w:p>
    <w:p>
      <w:pPr>
        <w:pStyle w:val="P30"/>
        <w:framePr w:w="3921" w:h="607" w:hRule="exact" w:wrap="none" w:vAnchor="page" w:hAnchor="margin" w:x="6800" w:y="11989"/>
        <w:rPr>
          <w:rStyle w:val="C3"/>
          <w:rtl w:val="0"/>
        </w:rPr>
      </w:pPr>
    </w:p>
    <w:p>
      <w:pPr>
        <w:pStyle w:val="P31"/>
        <w:framePr w:w="3839" w:h="480" w:hRule="exact" w:wrap="none" w:vAnchor="page" w:hAnchor="margin" w:x="6856" w:y="12045"/>
        <w:rPr>
          <w:rStyle w:val="C22"/>
          <w:rtl w:val="0"/>
        </w:rPr>
      </w:pPr>
      <w:r>
        <w:rPr>
          <w:rStyle w:val="C22"/>
          <w:rtl w:val="0"/>
        </w:rPr>
        <w:t>Praktické předvedení</w:t>
      </w:r>
    </w:p>
    <w:p>
      <w:pPr>
        <w:pStyle w:val="P32"/>
        <w:framePr w:w="10710" w:h="248" w:hRule="exact" w:wrap="none" w:vAnchor="page" w:hAnchor="margin" w:x="28" w:y="12709"/>
        <w:rPr>
          <w:rStyle w:val="C23"/>
          <w:rtl w:val="0"/>
        </w:rPr>
      </w:pPr>
      <w:r>
        <w:rPr>
          <w:rStyle w:val="C23"/>
          <w:rtl w:val="0"/>
        </w:rPr>
        <w:t>Je třeba splnit všechna kritéria.</w:t>
      </w:r>
    </w:p>
    <w:p>
      <w:pPr>
        <w:pStyle w:val="P23"/>
        <w:framePr w:w="10710" w:h="340" w:hRule="exact" w:wrap="none" w:vAnchor="page" w:hAnchor="margin" w:x="28" w:y="13145"/>
        <w:rPr>
          <w:rStyle w:val="C18"/>
          <w:rtl w:val="0"/>
        </w:rPr>
      </w:pPr>
      <w:r>
        <w:rPr>
          <w:rStyle w:val="C18"/>
          <w:rtl w:val="0"/>
        </w:rPr>
        <w:t>Sestavení rozpočtu pro provoz a údržbu památkového objektu</w:t>
      </w:r>
    </w:p>
    <w:p>
      <w:pPr>
        <w:pStyle w:val="P24"/>
        <w:framePr w:w="6713" w:h="376" w:hRule="exact" w:wrap="none" w:vAnchor="page" w:hAnchor="margin" w:x="45" w:y="13584"/>
        <w:rPr>
          <w:rStyle w:val="C3"/>
          <w:rtl w:val="0"/>
        </w:rPr>
      </w:pPr>
    </w:p>
    <w:p>
      <w:pPr>
        <w:pStyle w:val="P25"/>
        <w:framePr w:w="6661" w:h="249" w:hRule="exact" w:wrap="none" w:vAnchor="page" w:hAnchor="margin" w:x="71" w:y="13655"/>
        <w:rPr>
          <w:rStyle w:val="C19"/>
          <w:rtl w:val="0"/>
        </w:rPr>
      </w:pPr>
      <w:r>
        <w:rPr>
          <w:rStyle w:val="C19"/>
          <w:rtl w:val="0"/>
        </w:rPr>
        <w:t>Kritéria hodnocení</w:t>
      </w:r>
    </w:p>
    <w:p>
      <w:pPr>
        <w:pStyle w:val="P26"/>
        <w:framePr w:w="3918" w:h="376" w:hRule="exact" w:wrap="none" w:vAnchor="page" w:hAnchor="margin" w:x="6803" w:y="13584"/>
        <w:rPr>
          <w:rStyle w:val="C3"/>
          <w:rtl w:val="0"/>
        </w:rPr>
      </w:pPr>
    </w:p>
    <w:p>
      <w:pPr>
        <w:pStyle w:val="P27"/>
        <w:framePr w:w="3836" w:h="249" w:hRule="exact" w:wrap="none" w:vAnchor="page" w:hAnchor="margin" w:x="6859" w:y="13655"/>
        <w:rPr>
          <w:rStyle w:val="C20"/>
          <w:rtl w:val="0"/>
        </w:rPr>
      </w:pPr>
      <w:r>
        <w:rPr>
          <w:rStyle w:val="C20"/>
          <w:rtl w:val="0"/>
        </w:rPr>
        <w:t>Způsoby ověření</w:t>
      </w:r>
    </w:p>
    <w:p>
      <w:pPr>
        <w:pStyle w:val="P12"/>
        <w:framePr w:w="6710" w:h="831" w:hRule="exact" w:wrap="none" w:vAnchor="page" w:hAnchor="margin" w:x="45" w:y="13960"/>
        <w:rPr>
          <w:rStyle w:val="C3"/>
          <w:rtl w:val="0"/>
        </w:rPr>
      </w:pPr>
    </w:p>
    <w:p>
      <w:pPr>
        <w:pStyle w:val="P13"/>
        <w:framePr w:w="6658" w:h="704" w:hRule="exact" w:wrap="none" w:vAnchor="page" w:hAnchor="margin" w:x="71" w:y="14016"/>
        <w:rPr>
          <w:rStyle w:val="C11"/>
          <w:rtl w:val="0"/>
        </w:rPr>
      </w:pPr>
      <w:r>
        <w:rPr>
          <w:rStyle w:val="C11"/>
          <w:rtl w:val="0"/>
        </w:rPr>
        <w:t>a) Sestavit modelový rozpočet režijních nákladů pro provoz (energie, teplo, úklid, mzdy pro 5 zaměstnanců s průměrným platem 15 600 Kč) na jeden kalendářní rok</w:t>
      </w:r>
    </w:p>
    <w:p>
      <w:pPr>
        <w:pStyle w:val="P28"/>
        <w:framePr w:w="3921" w:h="831" w:hRule="exact" w:wrap="none" w:vAnchor="page" w:hAnchor="margin" w:x="6800" w:y="13960"/>
        <w:rPr>
          <w:rStyle w:val="C3"/>
          <w:rtl w:val="0"/>
        </w:rPr>
      </w:pPr>
    </w:p>
    <w:p>
      <w:pPr>
        <w:pStyle w:val="P29"/>
        <w:framePr w:w="3839" w:h="704" w:hRule="exact" w:wrap="none" w:vAnchor="page" w:hAnchor="margin" w:x="6856" w:y="14016"/>
        <w:rPr>
          <w:rStyle w:val="C21"/>
          <w:rtl w:val="0"/>
        </w:rPr>
      </w:pPr>
      <w:r>
        <w:rPr>
          <w:rStyle w:val="C21"/>
          <w:rtl w:val="0"/>
        </w:rPr>
        <w:t>Praktické předvedení</w:t>
      </w:r>
    </w:p>
    <w:p>
      <w:pPr>
        <w:pStyle w:val="P16"/>
        <w:framePr w:w="6710" w:h="607" w:hRule="exact" w:wrap="none" w:vAnchor="page" w:hAnchor="margin" w:x="45" w:y="14791"/>
        <w:rPr>
          <w:rStyle w:val="C3"/>
          <w:rtl w:val="0"/>
        </w:rPr>
      </w:pPr>
    </w:p>
    <w:p>
      <w:pPr>
        <w:pStyle w:val="P17"/>
        <w:framePr w:w="6658" w:h="480" w:hRule="exact" w:wrap="none" w:vAnchor="page" w:hAnchor="margin" w:x="71" w:y="14847"/>
        <w:rPr>
          <w:rStyle w:val="C13"/>
          <w:rtl w:val="0"/>
        </w:rPr>
      </w:pPr>
      <w:r>
        <w:rPr>
          <w:rStyle w:val="C13"/>
          <w:rtl w:val="0"/>
        </w:rPr>
        <w:t>b) Sestavit modelový rozpočet na údržbu objektu na jeden rok (revize, spotřeba materiálu)</w:t>
      </w:r>
    </w:p>
    <w:p>
      <w:pPr>
        <w:pStyle w:val="P30"/>
        <w:framePr w:w="3921" w:h="607" w:hRule="exact" w:wrap="none" w:vAnchor="page" w:hAnchor="margin" w:x="6800" w:y="14791"/>
        <w:rPr>
          <w:rStyle w:val="C3"/>
          <w:rtl w:val="0"/>
        </w:rPr>
      </w:pPr>
    </w:p>
    <w:p>
      <w:pPr>
        <w:pStyle w:val="P31"/>
        <w:framePr w:w="3839" w:h="480" w:hRule="exact" w:wrap="none" w:vAnchor="page" w:hAnchor="margin" w:x="6856" w:y="14847"/>
        <w:rPr>
          <w:rStyle w:val="C22"/>
          <w:rtl w:val="0"/>
        </w:rPr>
      </w:pPr>
      <w:r>
        <w:rPr>
          <w:rStyle w:val="C22"/>
          <w:rtl w:val="0"/>
        </w:rPr>
        <w:t>Praktické předvedení</w:t>
      </w:r>
    </w:p>
    <w:p>
      <w:pPr>
        <w:pStyle w:val="P32"/>
        <w:framePr w:w="10710" w:h="248" w:hRule="exact" w:wrap="none" w:vAnchor="page" w:hAnchor="margin" w:x="28" w:y="155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památkového objektu, 28.4.2026 19:57:04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Správa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ve stavební dokumentaci (vysvětlit pojem výkaz výměr, přečíst předloženou výkresovou dokumentaci, popsat rozvody elektrické energie v technické dokumentaci v části památkového objektu)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Dle předložené fotodokumentace (minimálně 10 fotografií) určit stav objektu, popsat poškození, vysvětlit nutnost opravy konkrétních částí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a popsat základní postup pro přípravu opravy včetně stanovení harmonogramu prací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Připravit předběžnou kalkulaci budoucí opravy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Zpracování a uzavírání smluv v oblasti nákupu, pronájmu, údržby a správy majetku</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Zpracovat modelovou smlouvu na pronájem sálu památkového objektu</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Praktické předvedení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Zpracovat modelovou objednávku pro určenou opravu památkového objektu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Zajištění bezpečnosti památkového objektu</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Popsat na modelové situaci (povodeň) postup zajištění bezpečnosti a prevence objektu</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Popsat zásady bezpečnosti a prevence mimořádné události (požár) z hlediska osob a návštěvníků</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Ústní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Uvést termíny preventivních prohlídek (revize objektu a technického zařízení dle platné vyhlášky o elektrických zařízeních)</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w:t>
      </w:r>
    </w:p>
    <w:p>
      <w:pPr>
        <w:pStyle w:val="P16"/>
        <w:framePr w:w="6710" w:h="376" w:hRule="exact" w:wrap="none" w:vAnchor="page" w:hAnchor="margin" w:x="45" w:y="10923"/>
        <w:rPr>
          <w:rStyle w:val="C3"/>
          <w:rtl w:val="0"/>
        </w:rPr>
      </w:pPr>
    </w:p>
    <w:p>
      <w:pPr>
        <w:pStyle w:val="P17"/>
        <w:framePr w:w="6658" w:h="249" w:hRule="exact" w:wrap="none" w:vAnchor="page" w:hAnchor="margin" w:x="71" w:y="10979"/>
        <w:rPr>
          <w:rStyle w:val="C13"/>
          <w:rtl w:val="0"/>
        </w:rPr>
      </w:pPr>
      <w:r>
        <w:rPr>
          <w:rStyle w:val="C13"/>
          <w:rtl w:val="0"/>
        </w:rPr>
        <w:t>d) Popsat zásady ochrany objektu proti vandalismu a krádežím</w:t>
      </w:r>
    </w:p>
    <w:p>
      <w:pPr>
        <w:pStyle w:val="P30"/>
        <w:framePr w:w="3921" w:h="376" w:hRule="exact" w:wrap="none" w:vAnchor="page" w:hAnchor="margin" w:x="6800" w:y="10923"/>
        <w:rPr>
          <w:rStyle w:val="C3"/>
          <w:rtl w:val="0"/>
        </w:rPr>
      </w:pPr>
    </w:p>
    <w:p>
      <w:pPr>
        <w:pStyle w:val="P31"/>
        <w:framePr w:w="3839" w:h="249" w:hRule="exact" w:wrap="none" w:vAnchor="page" w:hAnchor="margin" w:x="6856" w:y="10979"/>
        <w:rPr>
          <w:rStyle w:val="C22"/>
          <w:rtl w:val="0"/>
        </w:rPr>
      </w:pPr>
      <w:r>
        <w:rPr>
          <w:rStyle w:val="C22"/>
          <w:rtl w:val="0"/>
        </w:rPr>
        <w:t>Ústní ověření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e) Popsat postup při zajištění vhodného klimatu v objektu</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Řešení problémů souvisejících s péčí o památkové objekty</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831" w:hRule="exact" w:wrap="none" w:vAnchor="page" w:hAnchor="margin" w:x="45" w:y="13040"/>
        <w:rPr>
          <w:rStyle w:val="C3"/>
          <w:rtl w:val="0"/>
        </w:rPr>
      </w:pPr>
    </w:p>
    <w:p>
      <w:pPr>
        <w:pStyle w:val="P13"/>
        <w:framePr w:w="6658" w:h="704" w:hRule="exact" w:wrap="none" w:vAnchor="page" w:hAnchor="margin" w:x="71" w:y="13096"/>
        <w:rPr>
          <w:rStyle w:val="C11"/>
          <w:rtl w:val="0"/>
        </w:rPr>
      </w:pPr>
      <w:r>
        <w:rPr>
          <w:rStyle w:val="C11"/>
          <w:rtl w:val="0"/>
        </w:rPr>
        <w:t>a) Předvést na modelové situaci související s konáním kulturní akce jednání s příslušnými orgány státní správy (např. zajištění parkování na veřejném prostoru, zajištění prodloužení doby pracovního klidu)</w:t>
      </w:r>
    </w:p>
    <w:p>
      <w:pPr>
        <w:pStyle w:val="P28"/>
        <w:framePr w:w="3921" w:h="831" w:hRule="exact" w:wrap="none" w:vAnchor="page" w:hAnchor="margin" w:x="6800" w:y="13040"/>
        <w:rPr>
          <w:rStyle w:val="C3"/>
          <w:rtl w:val="0"/>
        </w:rPr>
      </w:pPr>
    </w:p>
    <w:p>
      <w:pPr>
        <w:pStyle w:val="P29"/>
        <w:framePr w:w="3839" w:h="704" w:hRule="exact" w:wrap="none" w:vAnchor="page" w:hAnchor="margin" w:x="6856" w:y="13096"/>
        <w:rPr>
          <w:rStyle w:val="C21"/>
          <w:rtl w:val="0"/>
        </w:rPr>
      </w:pPr>
      <w:r>
        <w:rPr>
          <w:rStyle w:val="C21"/>
          <w:rtl w:val="0"/>
        </w:rPr>
        <w:t>Praktické předvedení</w:t>
      </w:r>
    </w:p>
    <w:p>
      <w:pPr>
        <w:pStyle w:val="P16"/>
        <w:framePr w:w="6710" w:h="376" w:hRule="exact" w:wrap="none" w:vAnchor="page" w:hAnchor="margin" w:x="45" w:y="13872"/>
        <w:rPr>
          <w:rStyle w:val="C3"/>
          <w:rtl w:val="0"/>
        </w:rPr>
      </w:pPr>
    </w:p>
    <w:p>
      <w:pPr>
        <w:pStyle w:val="P17"/>
        <w:framePr w:w="6658" w:h="249" w:hRule="exact" w:wrap="none" w:vAnchor="page" w:hAnchor="margin" w:x="71" w:y="13928"/>
        <w:rPr>
          <w:rStyle w:val="C13"/>
          <w:rtl w:val="0"/>
        </w:rPr>
      </w:pPr>
      <w:r>
        <w:rPr>
          <w:rStyle w:val="C13"/>
          <w:rtl w:val="0"/>
        </w:rPr>
        <w:t>b) Řešit modelovou situaci s problémovým návštěvníkem</w:t>
      </w:r>
    </w:p>
    <w:p>
      <w:pPr>
        <w:pStyle w:val="P30"/>
        <w:framePr w:w="3921" w:h="376" w:hRule="exact" w:wrap="none" w:vAnchor="page" w:hAnchor="margin" w:x="6800" w:y="13872"/>
        <w:rPr>
          <w:rStyle w:val="C3"/>
          <w:rtl w:val="0"/>
        </w:rPr>
      </w:pPr>
    </w:p>
    <w:p>
      <w:pPr>
        <w:pStyle w:val="P31"/>
        <w:framePr w:w="3839" w:h="249" w:hRule="exact" w:wrap="none" w:vAnchor="page" w:hAnchor="margin" w:x="6856" w:y="13928"/>
        <w:rPr>
          <w:rStyle w:val="C22"/>
          <w:rtl w:val="0"/>
        </w:rPr>
      </w:pPr>
      <w:r>
        <w:rPr>
          <w:rStyle w:val="C22"/>
          <w:rtl w:val="0"/>
        </w:rPr>
        <w:t>Praktické předvedení</w:t>
      </w:r>
    </w:p>
    <w:p>
      <w:pPr>
        <w:pStyle w:val="P32"/>
        <w:framePr w:w="10710" w:h="248" w:hRule="exact" w:wrap="none" w:vAnchor="page" w:hAnchor="margin" w:x="28" w:y="143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památkového objektu, 28.4.2026 19:57:04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vytvoří pro odbornou způsobilost Orientace v právních normách ve vztahu ke správě památkového objektu písemný test; ke každému kritériu nejméně 5 otázek, celkem nejméně 25 otázek.</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103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dvěma autorizovanými osobami; zkoušejícími jsou 2 autorizované fyzické osoby s autorizací pro příslušnou profesní kvalifikaci anebo dva autorizovaní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památkového objektu, 28.4.2026 19:57:04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ekonomiku, stavebnictví nebo strojírenství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technicky zaměřené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technicky zaměřené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82-018-M Správce/správkyně památkového objektu + střední vzdělání s maturitní zkouškou zaměřené na ekonomiku, stavebnictví nebo strojírenství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www.mkcr.cz </w:t>
      </w:r>
    </w:p>
    <w:p>
      <w:pPr>
        <w:pStyle w:val="P33"/>
        <w:framePr w:w="10766" w:h="2778" w:hRule="exact" w:wrap="none" w:vAnchor="page" w:hAnchor="margin" w:x="0" w:y="11717"/>
        <w:rPr>
          <w:rStyle w:val="C3"/>
          <w:rtl w:val="0"/>
        </w:rPr>
      </w:pPr>
    </w:p>
    <w:p>
      <w:pPr>
        <w:pStyle w:val="P35"/>
        <w:framePr w:w="10710" w:h="340" w:hRule="exact" w:wrap="none" w:vAnchor="page" w:hAnchor="margin" w:x="28" w:y="11717"/>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(tabulkový procesor a databáze)</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stavební dokumentace a fotodokumentace budovy památkového významu </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Správce/správkyně památkového objektu, 28.4.2026 19:57:04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Správce/správkyně památkového objektu, 28.4.2026 19:57:04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Památník národního písemnictví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univerzita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památkového objektu, 28.4.2026 19:57:04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08FB8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08C1D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