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D3C86" Type="http://schemas.openxmlformats.org/officeDocument/2006/relationships/officeDocument" Target="/word/document.xml" /><Relationship Id="coreRBBD3C86" Type="http://schemas.openxmlformats.org/package/2006/relationships/metadata/core-properties" Target="/docProps/core.xml" /><Relationship Id="customRBBD3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