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3A157F" Type="http://schemas.openxmlformats.org/officeDocument/2006/relationships/officeDocument" Target="/word/document.xml" /><Relationship Id="coreR433A157F" Type="http://schemas.openxmlformats.org/package/2006/relationships/metadata/core-properties" Target="/docProps/core.xml" /><Relationship Id="customR433A157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akvizitér / samostatná knihovnice akvizitérka (kód: 72-011-R)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 akvizitér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Samostatný knihovník akvizitér / samostatná knihovnice akvizitérka, 30.7.2026 7:42:23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7.10.2020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Samostatný knihovník (kód: 72-99-R/03)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Samostatný knihovník / samostatná knihovnice v knihovně pro děti (kód: 72-021-R)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Samostatný knihovník akvizitér / samostatná knihovnice akvizitérka (kód: 72-011-R)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Samostatný knihovník katalogizátor / samostatná knihovnice katalogizátorka (kód: 72-008-R)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Samostatný knihovník metodik / samostatná knihovnice metodička (kód: 72-020-R)</w:t>
      </w:r>
    </w:p>
    <w:p>
      <w:pPr>
        <w:pStyle w:val="P13"/>
        <w:framePr w:w="10256" w:h="248" w:hRule="exact" w:wrap="none" w:vAnchor="page" w:hAnchor="margin" w:x="482" w:y="5274"/>
        <w:rPr>
          <w:rStyle w:val="C14"/>
          <w:rtl w:val="0"/>
        </w:rPr>
      </w:pPr>
      <w:r>
        <w:rPr>
          <w:rStyle w:val="C14"/>
          <w:rtl w:val="0"/>
        </w:rPr>
        <w:t>Samostatný knihovník pracovník / samostatná knihovnice pracovnice správy fondů (kód: 72-012-R)</w:t>
      </w:r>
    </w:p>
    <w:p>
      <w:pPr>
        <w:pStyle w:val="P13"/>
        <w:framePr w:w="10256" w:h="248" w:hRule="exact" w:wrap="none" w:vAnchor="page" w:hAnchor="margin" w:x="482" w:y="5522"/>
        <w:rPr>
          <w:rStyle w:val="C14"/>
          <w:rtl w:val="0"/>
        </w:rPr>
      </w:pPr>
      <w:r>
        <w:rPr>
          <w:rStyle w:val="C14"/>
          <w:rtl w:val="0"/>
        </w:rPr>
        <w:t>Samostatný knihovník správce / samostatná knihovnice správkyně digitální knihovny (kód: 72-018-R)</w:t>
      </w:r>
    </w:p>
    <w:p>
      <w:pPr>
        <w:pStyle w:val="P13"/>
        <w:framePr w:w="10256" w:h="248" w:hRule="exact" w:wrap="none" w:vAnchor="page" w:hAnchor="margin" w:x="482" w:y="5770"/>
        <w:rPr>
          <w:rStyle w:val="C14"/>
          <w:rtl w:val="0"/>
        </w:rPr>
      </w:pPr>
      <w:r>
        <w:rPr>
          <w:rStyle w:val="C14"/>
          <w:rtl w:val="0"/>
        </w:rPr>
        <w:t>Samostatný referenční knihovník / samostatná referenční knihovnice (kód: 72-009-R)</w:t>
      </w:r>
    </w:p>
    <w:p>
      <w:pPr>
        <w:pStyle w:val="P13"/>
        <w:framePr w:w="10256" w:h="248" w:hRule="exact" w:wrap="none" w:vAnchor="page" w:hAnchor="margin" w:x="482" w:y="6017"/>
        <w:rPr>
          <w:rStyle w:val="C14"/>
          <w:rtl w:val="0"/>
        </w:rPr>
      </w:pPr>
      <w:r>
        <w:rPr>
          <w:rStyle w:val="C14"/>
          <w:rtl w:val="0"/>
        </w:rPr>
        <w:t>Samostatný systémový knihovník / samostatná systémová knihovnice (kód: 72-019-R)</w:t>
      </w:r>
    </w:p>
    <w:p>
      <w:pPr>
        <w:pStyle w:val="P6"/>
        <w:framePr w:w="10710" w:h="113" w:hRule="exact" w:wrap="none" w:vAnchor="page" w:hAnchor="margin" w:x="28" w:y="626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83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88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83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88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19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249"/>
        <w:rPr>
          <w:rStyle w:val="C18"/>
          <w:rtl w:val="0"/>
        </w:rPr>
      </w:pPr>
      <w:r>
        <w:rPr>
          <w:rStyle w:val="C18"/>
          <w:rtl w:val="0"/>
        </w:rPr>
        <w:t>Samostatný knihovník akvizitér</w:t>
      </w:r>
    </w:p>
    <w:p>
      <w:pPr>
        <w:pStyle w:val="P20"/>
        <w:framePr w:w="5338" w:h="376" w:hRule="exact" w:wrap="none" w:vAnchor="page" w:hAnchor="margin" w:x="5383" w:y="719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249"/>
        <w:rPr>
          <w:rStyle w:val="C19"/>
          <w:rtl w:val="0"/>
        </w:rPr>
      </w:pPr>
      <w:r>
        <w:rPr>
          <w:rStyle w:val="C19"/>
          <w:rtl w:val="0"/>
        </w:rPr>
        <w:t>Samostatný knihovník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Samostatný knihovník akvizitér / samostatná knihovnice akvizitérka, 30.7.2026 7:42:23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