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0C81E7" Type="http://schemas.openxmlformats.org/officeDocument/2006/relationships/officeDocument" Target="/word/document.xml" /><Relationship Id="coreRF0C81E7" Type="http://schemas.openxmlformats.org/package/2006/relationships/metadata/core-properties" Target="/docProps/core.xml" /><Relationship Id="customRF0C81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recyklačních zařízení (kód: 28-053-H)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recyklačních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provozních předpisech a normách technologických zařízení pro recyklaci odpadů a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Nastavení provozních parametrů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a měření provozních parametrů technologických zařízení pro recyklaci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závad a poruch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údržby a drobných oprav zařízení pro recyklaci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Odběr a dokumentace vzorků výstupních produktů z technologických zařízení pro recyklaci odpadů a druhotných surovin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Třídění odpadů a druhotných surovin při strojním zpracování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29.10.2026 10:01:34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návody a předpisy v reálných podmínkách, a to z hlediska bezpečnosti práce, kvality roztřídění druhotných surovin a nakládání s nebezpečnými odpady. Při vizuálním hodnocení směsi odpadů pro zpracování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 a následné nastavení strojních parametrů.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oddělování a třídění surovin bude uchazeč postupovat podle požadavku na konečnou kvalitu výstupu ze zpracování a svůj postup zdůvodní.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29.10.2026 10:01:34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29.10.2026 10:01:34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