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B99E39" Type="http://schemas.openxmlformats.org/officeDocument/2006/relationships/officeDocument" Target="/word/document.xml" /><Relationship Id="coreR23B99E39" Type="http://schemas.openxmlformats.org/package/2006/relationships/metadata/core-properties" Target="/docProps/core.xml" /><Relationship Id="customR23B99E3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28.04.2015 do: 20.10.2019</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22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kompetence a kritéria sestaveny v dílčí pracovní procesy (povedení pracovní operace nebo souboru pracovních operací v technologické návaznosti) – uchazeči je zadáno zhotovení části kusového výrobku (uzávěru ložního prádla) a sešití okrajů dvou částí různými způsoby. Následující operace budou uchazeči předvedeny a následně uchazečem zopakovány: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např. do tvaru obdélníčku, našít knoflík strojem)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textile v délce 2m dvojitým hřbetovým švem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1m zakládaným přeplátovaným švem strojem se zakladačem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1m oboustranným lemovacím švem strojem se zakladačem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textile (textilii na povlak ve vhodné velikosti, 2 pruhy textilie v délce 2m a 3 pruhy textile v délce 1m k provedení švů, lemovku, prádlové knoflíky) a patřičné zakladače pro prováděné operace.</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vlastní provádění operce, tak na výsledek pracovní činnosti. Při ověřování splnění kritérií formou praktického předvedení je třeba se zaměřit na kvalitu vypracovaného dílce (vzhled, funkčnost prvků, dodržování šířek švových záložek, hladkost švu, přesnost tvaru součásti apod.),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49EC4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