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DA40A" Type="http://schemas.openxmlformats.org/officeDocument/2006/relationships/officeDocument" Target="/word/document.xml" /><Relationship Id="coreR258DA40A" Type="http://schemas.openxmlformats.org/package/2006/relationships/metadata/core-properties" Target="/docProps/core.xml" /><Relationship Id="customR258DA4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technik/technička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materiálů, polotovarů a výrobků v oděvní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kontrol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metod kontroly kvality oděvních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plánů kontroly kvality oděvních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oděvní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27.10.2026 3:34:19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řešit modelové situace pro konkrétní oděvní materiál nebo oděvní výrobek nebo pro konkrétní úsek oděvní výroby a kontroly kvality (provést vstupní kontrolu materiálu a výstupní kontrolu výrobku, včetně provedení kvalitativních zkoušek a vypracování protokolů, provést mezioperační kontrolu polotovaru na vybraném pracovišti včetně předvedení kontroly dodržování technologické kázně na modelových situacích, pro každou kontrolu navrhnout plán a vhodnou metodu, modelovat způsob řešení reklamace). Pro řešení modelové situace si uchazeč zvolí oděvní výrobek z nabídky autorizované osoby, která je blíže specifikována v kap. Nezbytné materiální a technické předpoklady pro provedení zkoušky.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z provozu oděvní výroby (minimálně jednu pro každou ověřovanou odbornou kompetenci), nabídne různé druhy oděvních výrobků (na kterých budou odborné kompetence ověřovány) a zpracuje seznam strojového vybavení (strojů a zařízení, které jsou k dispozici a na nichž lze zhotovovat nabízené výrobky) a umožní uchazeči se s tímto seznámit v předstihu (minimálně 1 týden) před zkouškou.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nebo laboratoře, tak v prostředí reálného provozu v oděvní výrobě (především při simulování činností mezioperační kontroly a kontroly dodržování technologické kázně). Jednotlivá kritéria hodnocení se ověřují uvedenými způsoby ověření a zaměřují se jak na výsledek vykonávané činnosti, tak na způsob předvedení činnosti.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27.10.2026 3:34:19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27.10.2026 3:34:19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