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6E907B" Type="http://schemas.openxmlformats.org/officeDocument/2006/relationships/officeDocument" Target="/word/document.xml" /><Relationship Id="coreR236E907B" Type="http://schemas.openxmlformats.org/package/2006/relationships/metadata/core-properties" Target="/docProps/core.xml" /><Relationship Id="customR236E90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gumárenských zařízení (kód: 28-055-H)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gumárenské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jednotlivých gumárenských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gumárenských zařízení, 11.9.2026 16:53:41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https://www.nsp.cz/jednotka-prace/obsluha-gumarenskych-zari#zdravotni-zpusobilost).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předem (minimálně 1 měsíc) informuje uchazeče. Při obsluze technologických procesů provádí uchazeč sledování a posuzování hodnot a parametrů strojního zařízení. Na praktickém příkladu uchazeč vysvětlí průběh technologického procesu a používané suroviny a materiály.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zkouška probíhá)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se zkouška koná.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gumárenských zařízení, 11.9.2026 16:53:41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gumárenských zařízení, 11.9.2026 16:53:41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