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458DD2" Type="http://schemas.openxmlformats.org/officeDocument/2006/relationships/officeDocument" Target="/word/document.xml" /><Relationship Id="coreR45458DD2" Type="http://schemas.openxmlformats.org/package/2006/relationships/metadata/core-properties" Target="/docProps/core.xml" /><Relationship Id="customR45458D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29.7.2026 19:01:19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29.7.2026 19:01:19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měřicích, regulačních a automatizačních zařízení</w:t>
      </w:r>
    </w:p>
    <w:p>
      <w:pPr>
        <w:pStyle w:val="P20"/>
        <w:framePr w:w="5338" w:h="607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6380"/>
        <w:rPr>
          <w:rStyle w:val="C19"/>
          <w:rtl w:val="0"/>
        </w:rPr>
      </w:pPr>
      <w:r>
        <w:rPr>
          <w:rStyle w:val="C19"/>
          <w:rtl w:val="0"/>
        </w:rPr>
        <w:t>Elektromechanik pro slaboproud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29.7.2026 19:01:19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