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1AFEA6" Type="http://schemas.openxmlformats.org/officeDocument/2006/relationships/officeDocument" Target="/word/document.xml" /><Relationship Id="coreR671AFEA6" Type="http://schemas.openxmlformats.org/package/2006/relationships/metadata/core-properties" Target="/docProps/core.xml" /><Relationship Id="customR671AFE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 pro chov prasat (kód: 41-072-M)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prasat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Evidence a označování prasat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mikroklimatu a technologie ustájení v objektech pro prasata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správného zacházení s prasaty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krmení a napájení prasat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prasat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reprodukce v chovu prasat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narozená selata a o jejich správný růst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mechanizačních prostředků v chovech prasat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živočišnou výrobu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14.10.2015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 pro chov prasat, 11.9.2026 20:03:41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uchazeče budou kompetence ověřovány nejen ve zkušební místnosti, ale také přímo v zemědělském podniku zaměřeném na chov prasat. Při vstupu do chovu musí uchazeč splňovat požadavky veterinárních předpisů.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 pracoviště. Při práci je třeba hodnotit přístup ke zvířatům a respektování požadavků pohody chovu prasat.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 pro chov prasat, 11.9.2026 20:03:41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mladých agrárníků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VYKO, spol. s r. o., Velké Koloděje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Soukromě hospodařící zemědělec - Eduard Kadrnka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 pro chov prasat, 11.9.2026 20:03:41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