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8CF56" Type="http://schemas.openxmlformats.org/officeDocument/2006/relationships/officeDocument" Target="/word/document.xml" /><Relationship Id="coreR7218CF56" Type="http://schemas.openxmlformats.org/package/2006/relationships/metadata/core-properties" Target="/docProps/core.xml" /><Relationship Id="customR7218CF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http://katalog.nsp.cz/karta_p.aspx?id_jp=30605).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10 zádání modelových situací, která budou obsahovat různé úkoly z oblastí činnosti kurýra (v souladu s uvedenými kompetencemi a jednotlivými kritérii hodnocení), na kterých se budou postupně ověřovat jednotlivé kompetence.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před zahájením zkoušky vylosuje jedno zadání.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kladen důraz na praktické předvedení. Praktické předvedení probíhá simulováním konkrétních situací formou hraných scének.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Úkol je splněn, když uchazeč zvládne modelovou situaci dle předepsaného scénáře s definovaným výsledkem.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