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1EE384" Type="http://schemas.openxmlformats.org/officeDocument/2006/relationships/officeDocument" Target="/word/document.xml" /><Relationship Id="coreR7E1EE384" Type="http://schemas.openxmlformats.org/package/2006/relationships/metadata/core-properties" Target="/docProps/core.xml" /><Relationship Id="customR7E1EE3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řízení kvality a hygieny krmiv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9:06:25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Uvést opatření k zabránění kontaminace krmiv salmonelou</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607" w:hRule="exact" w:wrap="none" w:vAnchor="page" w:hAnchor="margin" w:x="45" w:y="8717"/>
        <w:rPr>
          <w:rStyle w:val="C3"/>
          <w:rtl w:val="0"/>
        </w:rPr>
      </w:pPr>
    </w:p>
    <w:p>
      <w:pPr>
        <w:pStyle w:val="P13"/>
        <w:framePr w:w="6658" w:h="480" w:hRule="exact" w:wrap="none" w:vAnchor="page" w:hAnchor="margin" w:x="71" w:y="8773"/>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717"/>
        <w:rPr>
          <w:rStyle w:val="C3"/>
          <w:rtl w:val="0"/>
        </w:rPr>
      </w:pPr>
    </w:p>
    <w:p>
      <w:pPr>
        <w:pStyle w:val="P29"/>
        <w:framePr w:w="3839" w:h="480" w:hRule="exact" w:wrap="none" w:vAnchor="page" w:hAnchor="margin" w:x="6856" w:y="8773"/>
        <w:rPr>
          <w:rStyle w:val="C21"/>
          <w:rtl w:val="0"/>
        </w:rPr>
      </w:pPr>
      <w:r>
        <w:rPr>
          <w:rStyle w:val="C21"/>
          <w:rtl w:val="0"/>
        </w:rPr>
        <w:t>Praktické předvedení</w:t>
      </w:r>
    </w:p>
    <w:p>
      <w:pPr>
        <w:pStyle w:val="P16"/>
        <w:framePr w:w="6710" w:h="607" w:hRule="exact" w:wrap="none" w:vAnchor="page" w:hAnchor="margin" w:x="45" w:y="9324"/>
        <w:rPr>
          <w:rStyle w:val="C3"/>
          <w:rtl w:val="0"/>
        </w:rPr>
      </w:pPr>
    </w:p>
    <w:p>
      <w:pPr>
        <w:pStyle w:val="P17"/>
        <w:framePr w:w="6658" w:h="480" w:hRule="exact" w:wrap="none" w:vAnchor="page" w:hAnchor="margin" w:x="71" w:y="9380"/>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9324"/>
        <w:rPr>
          <w:rStyle w:val="C3"/>
          <w:rtl w:val="0"/>
        </w:rPr>
      </w:pPr>
    </w:p>
    <w:p>
      <w:pPr>
        <w:pStyle w:val="P31"/>
        <w:framePr w:w="3839" w:h="480" w:hRule="exact" w:wrap="none" w:vAnchor="page" w:hAnchor="margin" w:x="6856" w:y="9380"/>
        <w:rPr>
          <w:rStyle w:val="C22"/>
          <w:rtl w:val="0"/>
        </w:rPr>
      </w:pPr>
      <w:r>
        <w:rPr>
          <w:rStyle w:val="C22"/>
          <w:rtl w:val="0"/>
        </w:rPr>
        <w:t>Písemné ověření</w:t>
      </w:r>
    </w:p>
    <w:p>
      <w:pPr>
        <w:pStyle w:val="P12"/>
        <w:framePr w:w="6710" w:h="607" w:hRule="exact" w:wrap="none" w:vAnchor="page" w:hAnchor="margin" w:x="45" w:y="9931"/>
        <w:rPr>
          <w:rStyle w:val="C3"/>
          <w:rtl w:val="0"/>
        </w:rPr>
      </w:pPr>
    </w:p>
    <w:p>
      <w:pPr>
        <w:pStyle w:val="P13"/>
        <w:framePr w:w="6658" w:h="480" w:hRule="exact" w:wrap="none" w:vAnchor="page" w:hAnchor="margin" w:x="71" w:y="9987"/>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931"/>
        <w:rPr>
          <w:rStyle w:val="C3"/>
          <w:rtl w:val="0"/>
        </w:rPr>
      </w:pPr>
    </w:p>
    <w:p>
      <w:pPr>
        <w:pStyle w:val="P29"/>
        <w:framePr w:w="3839" w:h="480" w:hRule="exact" w:wrap="none" w:vAnchor="page" w:hAnchor="margin" w:x="6856" w:y="9987"/>
        <w:rPr>
          <w:rStyle w:val="C21"/>
          <w:rtl w:val="0"/>
        </w:rPr>
      </w:pPr>
      <w:r>
        <w:rPr>
          <w:rStyle w:val="C21"/>
          <w:rtl w:val="0"/>
        </w:rPr>
        <w:t>Praktické předvedení</w:t>
      </w:r>
    </w:p>
    <w:p>
      <w:pPr>
        <w:pStyle w:val="P32"/>
        <w:framePr w:w="10710" w:h="248" w:hRule="exact" w:wrap="none" w:vAnchor="page" w:hAnchor="margin" w:x="28" w:y="10651"/>
        <w:rPr>
          <w:rStyle w:val="C23"/>
          <w:rtl w:val="0"/>
        </w:rPr>
      </w:pPr>
      <w:r>
        <w:rPr>
          <w:rStyle w:val="C23"/>
          <w:rtl w:val="0"/>
        </w:rPr>
        <w:t>Je třeba splnit všechna kritéria.</w:t>
      </w:r>
    </w:p>
    <w:p>
      <w:pPr>
        <w:pStyle w:val="P23"/>
        <w:framePr w:w="10710" w:h="547" w:hRule="exact" w:wrap="none" w:vAnchor="page" w:hAnchor="margin" w:x="28" w:y="11087"/>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733"/>
        <w:rPr>
          <w:rStyle w:val="C3"/>
          <w:rtl w:val="0"/>
        </w:rPr>
      </w:pPr>
    </w:p>
    <w:p>
      <w:pPr>
        <w:pStyle w:val="P25"/>
        <w:framePr w:w="6661" w:h="249" w:hRule="exact" w:wrap="none" w:vAnchor="page" w:hAnchor="margin" w:x="71" w:y="11804"/>
        <w:rPr>
          <w:rStyle w:val="C19"/>
          <w:rtl w:val="0"/>
        </w:rPr>
      </w:pPr>
      <w:r>
        <w:rPr>
          <w:rStyle w:val="C19"/>
          <w:rtl w:val="0"/>
        </w:rPr>
        <w:t>Kritéria hodnocení</w:t>
      </w:r>
    </w:p>
    <w:p>
      <w:pPr>
        <w:pStyle w:val="P26"/>
        <w:framePr w:w="3918" w:h="376" w:hRule="exact" w:wrap="none" w:vAnchor="page" w:hAnchor="margin" w:x="6803" w:y="11733"/>
        <w:rPr>
          <w:rStyle w:val="C3"/>
          <w:rtl w:val="0"/>
        </w:rPr>
      </w:pPr>
    </w:p>
    <w:p>
      <w:pPr>
        <w:pStyle w:val="P27"/>
        <w:framePr w:w="3836" w:h="249" w:hRule="exact" w:wrap="none" w:vAnchor="page" w:hAnchor="margin" w:x="6859" w:y="11804"/>
        <w:rPr>
          <w:rStyle w:val="C20"/>
          <w:rtl w:val="0"/>
        </w:rPr>
      </w:pPr>
      <w:r>
        <w:rPr>
          <w:rStyle w:val="C20"/>
          <w:rtl w:val="0"/>
        </w:rPr>
        <w:t>Způsoby ověření</w:t>
      </w:r>
    </w:p>
    <w:p>
      <w:pPr>
        <w:pStyle w:val="P12"/>
        <w:framePr w:w="6710" w:h="376" w:hRule="exact" w:wrap="none" w:vAnchor="page" w:hAnchor="margin" w:x="45" w:y="12109"/>
        <w:rPr>
          <w:rStyle w:val="C3"/>
          <w:rtl w:val="0"/>
        </w:rPr>
      </w:pPr>
    </w:p>
    <w:p>
      <w:pPr>
        <w:pStyle w:val="P13"/>
        <w:framePr w:w="6658" w:h="249" w:hRule="exact" w:wrap="none" w:vAnchor="page" w:hAnchor="margin" w:x="71" w:y="12165"/>
        <w:rPr>
          <w:rStyle w:val="C11"/>
          <w:rtl w:val="0"/>
        </w:rPr>
      </w:pPr>
      <w:r>
        <w:rPr>
          <w:rStyle w:val="C11"/>
          <w:rtl w:val="0"/>
        </w:rPr>
        <w:t>a) Navrhnout plán kontroly jakosti a bezpečnosti zadaných krmných směsí</w:t>
      </w:r>
    </w:p>
    <w:p>
      <w:pPr>
        <w:pStyle w:val="P28"/>
        <w:framePr w:w="3921" w:h="376" w:hRule="exact" w:wrap="none" w:vAnchor="page" w:hAnchor="margin" w:x="6800" w:y="12109"/>
        <w:rPr>
          <w:rStyle w:val="C3"/>
          <w:rtl w:val="0"/>
        </w:rPr>
      </w:pPr>
    </w:p>
    <w:p>
      <w:pPr>
        <w:pStyle w:val="P29"/>
        <w:framePr w:w="3839" w:h="249" w:hRule="exact" w:wrap="none" w:vAnchor="page" w:hAnchor="margin" w:x="6856" w:y="12165"/>
        <w:rPr>
          <w:rStyle w:val="C21"/>
          <w:rtl w:val="0"/>
        </w:rPr>
      </w:pPr>
      <w:r>
        <w:rPr>
          <w:rStyle w:val="C21"/>
          <w:rtl w:val="0"/>
        </w:rPr>
        <w:t>Praktické předvedení</w:t>
      </w:r>
    </w:p>
    <w:p>
      <w:pPr>
        <w:pStyle w:val="P16"/>
        <w:framePr w:w="6710" w:h="831" w:hRule="exact" w:wrap="none" w:vAnchor="page" w:hAnchor="margin" w:x="45" w:y="12486"/>
        <w:rPr>
          <w:rStyle w:val="C3"/>
          <w:rtl w:val="0"/>
        </w:rPr>
      </w:pPr>
    </w:p>
    <w:p>
      <w:pPr>
        <w:pStyle w:val="P17"/>
        <w:framePr w:w="6658" w:h="704" w:hRule="exact" w:wrap="none" w:vAnchor="page" w:hAnchor="margin" w:x="71" w:y="12542"/>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486"/>
        <w:rPr>
          <w:rStyle w:val="C3"/>
          <w:rtl w:val="0"/>
        </w:rPr>
      </w:pPr>
    </w:p>
    <w:p>
      <w:pPr>
        <w:pStyle w:val="P31"/>
        <w:framePr w:w="3839" w:h="704" w:hRule="exact" w:wrap="none" w:vAnchor="page" w:hAnchor="margin" w:x="6856" w:y="12542"/>
        <w:rPr>
          <w:rStyle w:val="C22"/>
          <w:rtl w:val="0"/>
        </w:rPr>
      </w:pPr>
      <w:r>
        <w:rPr>
          <w:rStyle w:val="C22"/>
          <w:rtl w:val="0"/>
        </w:rPr>
        <w:t>Praktické předvedení</w:t>
      </w:r>
    </w:p>
    <w:p>
      <w:pPr>
        <w:pStyle w:val="P32"/>
        <w:framePr w:w="10710" w:h="248" w:hRule="exact" w:wrap="none" w:vAnchor="page" w:hAnchor="margin" w:x="28" w:y="134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9:06:25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Rozhodování o zastavení výroby či expedice krmiv</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Uvést právní předpisy ČR a EU, kterými jsou stanoveny maximální povolené limity reziduí nežádoucích látek v krmných směsích a premixech</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Uvést právní předpisy stanovující zakázané látky a produkty i nežádoucí látky v krmivech</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32"/>
        <w:framePr w:w="10710" w:h="248" w:hRule="exact" w:wrap="none" w:vAnchor="page" w:hAnchor="margin" w:x="28" w:y="74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9:06:25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9:06:25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1"/>
        <w:framePr w:w="10766" w:h="523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potravinářství a alespoň 5 let odborné praxe v oblasti výroby krmných směsí a výživy zvířat.</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800" w:hRule="exact" w:wrap="none" w:vAnchor="page" w:hAnchor="margin" w:x="0" w:y="8165"/>
        <w:rPr>
          <w:rStyle w:val="C3"/>
          <w:rtl w:val="0"/>
        </w:rPr>
      </w:pPr>
    </w:p>
    <w:p>
      <w:pPr>
        <w:pStyle w:val="P35"/>
        <w:framePr w:w="10710" w:h="340" w:hRule="exact" w:wrap="none" w:vAnchor="page" w:hAnchor="margin" w:x="28" w:y="8165"/>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1"/>
        <w:framePr w:w="10766" w:h="3460" w:hRule="exact" w:wrap="none" w:vAnchor="page" w:hAnchor="margin" w:x="0" w:y="85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2 analytických rozborů krmných směsí nebo premixů</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85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92"/>
        <w:rPr>
          <w:rStyle w:val="C3"/>
          <w:rtl w:val="0"/>
        </w:rPr>
      </w:pPr>
    </w:p>
    <w:p>
      <w:pPr>
        <w:pStyle w:val="P35"/>
        <w:framePr w:w="10710" w:h="340" w:hRule="exact" w:wrap="none" w:vAnchor="page" w:hAnchor="margin" w:x="28" w:y="12192"/>
        <w:rPr>
          <w:rStyle w:val="C25"/>
          <w:rtl w:val="0"/>
        </w:rPr>
      </w:pPr>
      <w:r>
        <w:rPr>
          <w:rStyle w:val="C25"/>
          <w:rtl w:val="0"/>
        </w:rPr>
        <w:t>Doba přípravy na zkoušku</w:t>
      </w:r>
    </w:p>
    <w:p>
      <w:pPr>
        <w:keepNext w:val="0"/>
        <w:keepLines w:val="0"/>
        <w:framePr w:w="10766" w:h="806" w:hRule="exact" w:wrap="none" w:vAnchor="page" w:hAnchor="margin" w:x="0" w:y="125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565"/>
        <w:rPr>
          <w:rStyle w:val="C3"/>
          <w:rtl w:val="0"/>
        </w:rPr>
      </w:pPr>
    </w:p>
    <w:p>
      <w:pPr>
        <w:pStyle w:val="P35"/>
        <w:framePr w:w="10710" w:h="340" w:hRule="exact" w:wrap="none" w:vAnchor="page" w:hAnchor="margin" w:x="28" w:y="13565"/>
        <w:rPr>
          <w:rStyle w:val="C25"/>
          <w:rtl w:val="0"/>
        </w:rPr>
      </w:pPr>
      <w:r>
        <w:rPr>
          <w:rStyle w:val="C25"/>
          <w:rtl w:val="0"/>
        </w:rPr>
        <w:t>Doba pro vykonání zkoušky</w:t>
      </w:r>
    </w:p>
    <w:p>
      <w:pPr>
        <w:keepNext w:val="0"/>
        <w:keepLines w:val="0"/>
        <w:framePr w:w="10766" w:h="1036" w:hRule="exact" w:wrap="none" w:vAnchor="page" w:hAnchor="margin" w:x="0" w:y="139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6 hodin (hodinou se rozumí 60 minut). Doba trvání písemné části zkoušky jednoho uchazeče je 30 minut. Zkouška může být rozložena do více dnů. </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9:06:25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 s. Pelhřimov</w:t>
      </w:r>
    </w:p>
    <w:p>
      <w:pPr>
        <w:pStyle w:val="P21"/>
        <w:framePr w:w="7654" w:h="331" w:hRule="exact" w:wrap="none" w:vAnchor="page" w:hAnchor="margin" w:x="28" w:y="15940"/>
        <w:rPr>
          <w:rStyle w:val="C16"/>
          <w:rtl w:val="0"/>
        </w:rPr>
      </w:pPr>
      <w:r>
        <w:rPr>
          <w:rStyle w:val="C16"/>
          <w:rtl w:val="0"/>
        </w:rPr>
        <w:t>Samostatný technik / samostatná technička pro řízení jakosti a hygieny v krmivářství, 30.7.2026 9:06:25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2459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9CC4E9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