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D13B7" Type="http://schemas.openxmlformats.org/officeDocument/2006/relationships/officeDocument" Target="/word/document.xml" /><Relationship Id="coreRCCD13B7" Type="http://schemas.openxmlformats.org/package/2006/relationships/metadata/core-properties" Target="/docProps/core.xml" /><Relationship Id="customRCCD13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karotáže a perforace (kód: 21-052-M)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kontrola práce na externích pracovištích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Geofyzikální průzkum ložisek plynů, ropy a jiných druhů kapalin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při karotážním měření ve vrtech a sondách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výpočetní techniky při karotážních pracích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karotážních prací se zdroji ionizujícího záření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na elektrickém zařízení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elektronických systémů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vozidel a zařízení pro karotážní měření ve vrtech a sondách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trhacích prací malého rozsahu ve vrtech a sondách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bezpečnosti práce při používání výbušnin ve vrtech a sondách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Nakládání s výbušninami, skladování a doprava výbušnin dle platných právních předpisů – zákon 61/1988, vyhláška 99/1995, vyhláška č. 72/1988, Dohoda o přepravě nebezpečných věcí ADR</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a technické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karotáže a perforace, 15.6.2026 10:21:29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kontrola práce na externích pracovištích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Stručně popsat pracovní úkony jednotlivých členů karotážní osádky a pracovníků vrtby/podzemní opravy sondy při provádění karotážních prací na vrtech a sondách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postup při předání a převzetí pracoviště a povinnosti jednotlivých pracovníků podle vyhlášky č. 239/1998 Sb., ve znění pozdějších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pracovní postup při karotážním měření od příjezdu na pracoviště přes rozdělení úkolů, vlastní provedení měření až po ukončení prací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Geofyzikální průzkum ložisek plynů, ropy a jiných druhů kapalin</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055" w:hRule="exact" w:wrap="none" w:vAnchor="page" w:hAnchor="margin" w:x="45" w:y="7161"/>
        <w:rPr>
          <w:rStyle w:val="C3"/>
          <w:rtl w:val="0"/>
        </w:rPr>
      </w:pPr>
    </w:p>
    <w:p>
      <w:pPr>
        <w:pStyle w:val="P13"/>
        <w:framePr w:w="6658" w:h="928" w:hRule="exact" w:wrap="none" w:vAnchor="page" w:hAnchor="margin" w:x="71" w:y="7217"/>
        <w:rPr>
          <w:rStyle w:val="C11"/>
          <w:rtl w:val="0"/>
        </w:rPr>
      </w:pPr>
      <w:r>
        <w:rPr>
          <w:rStyle w:val="C11"/>
          <w:rtl w:val="0"/>
        </w:rPr>
        <w:t>a) Popsat fyzikální podstatu základních karotážních metod a jejich pojmenování – metody elektrické odporové, magnetické, akustické, mechanické, měření teploty a tlaku, metody na základě měření ionizujícího záření</w:t>
      </w:r>
    </w:p>
    <w:p>
      <w:pPr>
        <w:pStyle w:val="P28"/>
        <w:framePr w:w="3921" w:h="1055" w:hRule="exact" w:wrap="none" w:vAnchor="page" w:hAnchor="margin" w:x="6800" w:y="7161"/>
        <w:rPr>
          <w:rStyle w:val="C3"/>
          <w:rtl w:val="0"/>
        </w:rPr>
      </w:pPr>
    </w:p>
    <w:p>
      <w:pPr>
        <w:pStyle w:val="P29"/>
        <w:framePr w:w="3839" w:h="928" w:hRule="exact" w:wrap="none" w:vAnchor="page" w:hAnchor="margin" w:x="6856" w:y="7217"/>
        <w:rPr>
          <w:rStyle w:val="C21"/>
          <w:rtl w:val="0"/>
        </w:rPr>
      </w:pPr>
      <w:r>
        <w:rPr>
          <w:rStyle w:val="C21"/>
          <w:rtl w:val="0"/>
        </w:rPr>
        <w:t>Písemné a ústní ověření</w:t>
      </w:r>
    </w:p>
    <w:p>
      <w:pPr>
        <w:pStyle w:val="P16"/>
        <w:framePr w:w="6710" w:h="607" w:hRule="exact" w:wrap="none" w:vAnchor="page" w:hAnchor="margin" w:x="45" w:y="8216"/>
        <w:rPr>
          <w:rStyle w:val="C3"/>
          <w:rtl w:val="0"/>
        </w:rPr>
      </w:pPr>
    </w:p>
    <w:p>
      <w:pPr>
        <w:pStyle w:val="P17"/>
        <w:framePr w:w="6658" w:h="480" w:hRule="exact" w:wrap="none" w:vAnchor="page" w:hAnchor="margin" w:x="71" w:y="8272"/>
        <w:rPr>
          <w:rStyle w:val="C13"/>
          <w:rtl w:val="0"/>
        </w:rPr>
      </w:pPr>
      <w:r>
        <w:rPr>
          <w:rStyle w:val="C13"/>
          <w:rtl w:val="0"/>
        </w:rPr>
        <w:t>b) Popsat technická řešení karotážních metod, karotážních přístrojů a jejich funkce</w:t>
      </w:r>
    </w:p>
    <w:p>
      <w:pPr>
        <w:pStyle w:val="P30"/>
        <w:framePr w:w="3921" w:h="607" w:hRule="exact" w:wrap="none" w:vAnchor="page" w:hAnchor="margin" w:x="6800" w:y="8216"/>
        <w:rPr>
          <w:rStyle w:val="C3"/>
          <w:rtl w:val="0"/>
        </w:rPr>
      </w:pPr>
    </w:p>
    <w:p>
      <w:pPr>
        <w:pStyle w:val="P31"/>
        <w:framePr w:w="3839" w:h="480" w:hRule="exact" w:wrap="none" w:vAnchor="page" w:hAnchor="margin" w:x="6856" w:y="8272"/>
        <w:rPr>
          <w:rStyle w:val="C22"/>
          <w:rtl w:val="0"/>
        </w:rPr>
      </w:pPr>
      <w:r>
        <w:rPr>
          <w:rStyle w:val="C22"/>
          <w:rtl w:val="0"/>
        </w:rPr>
        <w:t>Písemné a ústní ověření</w:t>
      </w:r>
    </w:p>
    <w:p>
      <w:pPr>
        <w:pStyle w:val="P32"/>
        <w:framePr w:w="10710" w:h="248" w:hRule="exact" w:wrap="none" w:vAnchor="page" w:hAnchor="margin" w:x="28" w:y="8936"/>
        <w:rPr>
          <w:rStyle w:val="C23"/>
          <w:rtl w:val="0"/>
        </w:rPr>
      </w:pPr>
      <w:r>
        <w:rPr>
          <w:rStyle w:val="C23"/>
          <w:rtl w:val="0"/>
        </w:rPr>
        <w:t>Je třeba splnit obě kritéria.</w:t>
      </w:r>
    </w:p>
    <w:p>
      <w:pPr>
        <w:pStyle w:val="P23"/>
        <w:framePr w:w="10710" w:h="340" w:hRule="exact" w:wrap="none" w:vAnchor="page" w:hAnchor="margin" w:x="28" w:y="9372"/>
        <w:rPr>
          <w:rStyle w:val="C18"/>
          <w:rtl w:val="0"/>
        </w:rPr>
      </w:pPr>
      <w:r>
        <w:rPr>
          <w:rStyle w:val="C18"/>
          <w:rtl w:val="0"/>
        </w:rPr>
        <w:t>Provádění prací při karotážním měření ve vrtech a sondách</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Popsat pracovní postup při karotážním měření při vrtbě nebo podzemní opravě sondy - kontrola pracoviště, postavení karotážní soupravy, montáž přístrojů, zapouštění do vrtu/sondy, tažení z vrtu/sondy, údržba po měření</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Písemné a 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Popsat karotážní měření v těžebních sondách pod tlakem kapalin, vyjmenovat a popsat pomocná těsnicí zařízení, jejich použití a funkce</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Písemné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Demonstrovat karotážní měření na karotážní soupravě (zapojení karotážních přístrojů, napájení, karotážní měření, zpracování dat)</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Praktické předvedení a ústní ověření</w:t>
      </w:r>
    </w:p>
    <w:p>
      <w:pPr>
        <w:pStyle w:val="P32"/>
        <w:framePr w:w="10710" w:h="248" w:hRule="exact" w:wrap="none" w:vAnchor="page" w:hAnchor="margin" w:x="28" w:y="12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15.6.2026 10:21:29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zpracování informací senzorů hlubinných karotážních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druhy přenosu dat mezi hlubinným karotážním přístrojem a povrchovým měřicím zařízením a zpracování dat karotážního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Interpretovat výsledky karotážního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ovládání software a hardware karotážního počítače pro zpracování dat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karotážních prací se zdroji ionizujícího záření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280" w:hRule="exact" w:wrap="none" w:vAnchor="page" w:hAnchor="margin" w:x="45" w:y="6531"/>
        <w:rPr>
          <w:rStyle w:val="C3"/>
          <w:rtl w:val="0"/>
        </w:rPr>
      </w:pPr>
    </w:p>
    <w:p>
      <w:pPr>
        <w:pStyle w:val="P13"/>
        <w:framePr w:w="6658" w:h="1153" w:hRule="exact" w:wrap="none" w:vAnchor="page" w:hAnchor="margin" w:x="71" w:y="6587"/>
        <w:rPr>
          <w:rStyle w:val="C11"/>
          <w:rtl w:val="0"/>
        </w:rPr>
      </w:pPr>
      <w:r>
        <w:rPr>
          <w:rStyle w:val="C11"/>
          <w:rtl w:val="0"/>
        </w:rPr>
        <w:t>a) Vyjmenovat základní zákonná ustanovení vztahující se k používání zdrojů ionizujícího záření (potřebná oprávnění a odpovědnosti, oprávnění k nakládání, skladování a dokumentace pro dopravu zdrojů ionizujícího záření) podle zákona č.18/1997 Sb., ve znění pozdějších předpisů a Dohody o přepravě nebezpečných věcí ADR</w:t>
      </w:r>
    </w:p>
    <w:p>
      <w:pPr>
        <w:pStyle w:val="P28"/>
        <w:framePr w:w="3921" w:h="1280" w:hRule="exact" w:wrap="none" w:vAnchor="page" w:hAnchor="margin" w:x="6800" w:y="6531"/>
        <w:rPr>
          <w:rStyle w:val="C3"/>
          <w:rtl w:val="0"/>
        </w:rPr>
      </w:pPr>
    </w:p>
    <w:p>
      <w:pPr>
        <w:pStyle w:val="P29"/>
        <w:framePr w:w="3839" w:h="1153"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teorii ionizujícího záření a způsob jeho využití při karotážním měření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Práce na elektrickém zařízení nízkého napětí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Popsat napájení povrchových a hlubinných karotážních přístrojů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Písemné a ústní ověření</w:t>
      </w:r>
    </w:p>
    <w:p>
      <w:pPr>
        <w:pStyle w:val="P16"/>
        <w:framePr w:w="6710" w:h="1055" w:hRule="exact" w:wrap="none" w:vAnchor="page" w:hAnchor="margin" w:x="45" w:y="10158"/>
        <w:rPr>
          <w:rStyle w:val="C3"/>
          <w:rtl w:val="0"/>
        </w:rPr>
      </w:pPr>
    </w:p>
    <w:p>
      <w:pPr>
        <w:pStyle w:val="P17"/>
        <w:framePr w:w="6658" w:h="928" w:hRule="exact" w:wrap="none" w:vAnchor="page" w:hAnchor="margin" w:x="71" w:y="10214"/>
        <w:rPr>
          <w:rStyle w:val="C13"/>
          <w:rtl w:val="0"/>
        </w:rPr>
      </w:pPr>
      <w:r>
        <w:rPr>
          <w:rStyle w:val="C13"/>
          <w:rtl w:val="0"/>
        </w:rPr>
        <w:t>b) Popsat práce na elektrickém zařízení nízkého napětí při karotážním měření ve vrtech a sondách (potřebná oprávnění, napájení karotážní soupravy, uzemnění apod.) dle vyhlášky č. 50/1978 Sb., ve znění pozdějších předpisů</w:t>
      </w:r>
    </w:p>
    <w:p>
      <w:pPr>
        <w:pStyle w:val="P30"/>
        <w:framePr w:w="3921" w:h="1055" w:hRule="exact" w:wrap="none" w:vAnchor="page" w:hAnchor="margin" w:x="6800" w:y="10158"/>
        <w:rPr>
          <w:rStyle w:val="C3"/>
          <w:rtl w:val="0"/>
        </w:rPr>
      </w:pPr>
    </w:p>
    <w:p>
      <w:pPr>
        <w:pStyle w:val="P31"/>
        <w:framePr w:w="3839" w:h="928" w:hRule="exact" w:wrap="none" w:vAnchor="page" w:hAnchor="margin" w:x="6856" w:y="10214"/>
        <w:rPr>
          <w:rStyle w:val="C22"/>
          <w:rtl w:val="0"/>
        </w:rPr>
      </w:pPr>
      <w:r>
        <w:rPr>
          <w:rStyle w:val="C22"/>
          <w:rtl w:val="0"/>
        </w:rPr>
        <w:t>Písemné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c) Předvést připojení karotážní soupravy na zdroj elektrické energie</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3"/>
        <w:rPr>
          <w:rStyle w:val="C23"/>
          <w:rtl w:val="0"/>
        </w:rPr>
      </w:pPr>
      <w:r>
        <w:rPr>
          <w:rStyle w:val="C23"/>
          <w:rtl w:val="0"/>
        </w:rPr>
        <w:t>Je třeba splnit obě kritéria.</w:t>
      </w:r>
    </w:p>
    <w:p>
      <w:pPr>
        <w:pStyle w:val="P23"/>
        <w:framePr w:w="10710" w:h="340" w:hRule="exact" w:wrap="none" w:vAnchor="page" w:hAnchor="margin" w:x="28" w:y="12139"/>
        <w:rPr>
          <w:rStyle w:val="C18"/>
          <w:rtl w:val="0"/>
        </w:rPr>
      </w:pPr>
      <w:r>
        <w:rPr>
          <w:rStyle w:val="C18"/>
          <w:rtl w:val="0"/>
        </w:rPr>
        <w:t>Údržba elektronických systémů a přístrojů</w:t>
      </w:r>
    </w:p>
    <w:p>
      <w:pPr>
        <w:pStyle w:val="P24"/>
        <w:framePr w:w="6713" w:h="376" w:hRule="exact" w:wrap="none" w:vAnchor="page" w:hAnchor="margin" w:x="45" w:y="12578"/>
        <w:rPr>
          <w:rStyle w:val="C3"/>
          <w:rtl w:val="0"/>
        </w:rPr>
      </w:pPr>
    </w:p>
    <w:p>
      <w:pPr>
        <w:pStyle w:val="P25"/>
        <w:framePr w:w="6661" w:h="249" w:hRule="exact" w:wrap="none" w:vAnchor="page" w:hAnchor="margin" w:x="71" w:y="12649"/>
        <w:rPr>
          <w:rStyle w:val="C19"/>
          <w:rtl w:val="0"/>
        </w:rPr>
      </w:pPr>
      <w:r>
        <w:rPr>
          <w:rStyle w:val="C19"/>
          <w:rtl w:val="0"/>
        </w:rPr>
        <w:t>Kritéria hodnocení</w:t>
      </w:r>
    </w:p>
    <w:p>
      <w:pPr>
        <w:pStyle w:val="P26"/>
        <w:framePr w:w="3918" w:h="376" w:hRule="exact" w:wrap="none" w:vAnchor="page" w:hAnchor="margin" w:x="6803" w:y="12578"/>
        <w:rPr>
          <w:rStyle w:val="C3"/>
          <w:rtl w:val="0"/>
        </w:rPr>
      </w:pPr>
    </w:p>
    <w:p>
      <w:pPr>
        <w:pStyle w:val="P27"/>
        <w:framePr w:w="3836" w:h="249" w:hRule="exact" w:wrap="none" w:vAnchor="page" w:hAnchor="margin" w:x="6859" w:y="12649"/>
        <w:rPr>
          <w:rStyle w:val="C20"/>
          <w:rtl w:val="0"/>
        </w:rPr>
      </w:pPr>
      <w:r>
        <w:rPr>
          <w:rStyle w:val="C20"/>
          <w:rtl w:val="0"/>
        </w:rPr>
        <w:t>Způsoby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a) Popsat postup při periodické kontrole a údržbě hlubinných karotážních přístrojů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Písemné a ústní ověření</w:t>
      </w:r>
    </w:p>
    <w:p>
      <w:pPr>
        <w:pStyle w:val="P16"/>
        <w:framePr w:w="6710" w:h="607" w:hRule="exact" w:wrap="none" w:vAnchor="page" w:hAnchor="margin" w:x="45" w:y="13561"/>
        <w:rPr>
          <w:rStyle w:val="C3"/>
          <w:rtl w:val="0"/>
        </w:rPr>
      </w:pPr>
    </w:p>
    <w:p>
      <w:pPr>
        <w:pStyle w:val="P17"/>
        <w:framePr w:w="6658" w:h="480" w:hRule="exact" w:wrap="none" w:vAnchor="page" w:hAnchor="margin" w:x="71" w:y="13617"/>
        <w:rPr>
          <w:rStyle w:val="C13"/>
          <w:rtl w:val="0"/>
        </w:rPr>
      </w:pPr>
      <w:r>
        <w:rPr>
          <w:rStyle w:val="C13"/>
          <w:rtl w:val="0"/>
        </w:rPr>
        <w:t>b) Provést nastavení a ověření správné funkce hlubinných karotážních přístrojů</w:t>
      </w:r>
    </w:p>
    <w:p>
      <w:pPr>
        <w:pStyle w:val="P30"/>
        <w:framePr w:w="3921" w:h="607" w:hRule="exact" w:wrap="none" w:vAnchor="page" w:hAnchor="margin" w:x="6800" w:y="13561"/>
        <w:rPr>
          <w:rStyle w:val="C3"/>
          <w:rtl w:val="0"/>
        </w:rPr>
      </w:pPr>
    </w:p>
    <w:p>
      <w:pPr>
        <w:pStyle w:val="P31"/>
        <w:framePr w:w="3839" w:h="480" w:hRule="exact" w:wrap="none" w:vAnchor="page" w:hAnchor="margin" w:x="6856" w:y="13617"/>
        <w:rPr>
          <w:rStyle w:val="C22"/>
          <w:rtl w:val="0"/>
        </w:rPr>
      </w:pPr>
      <w:r>
        <w:rPr>
          <w:rStyle w:val="C22"/>
          <w:rtl w:val="0"/>
        </w:rPr>
        <w:t>Praktické předvedení a ústní ověření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Popsat údržbu a ověření správné funkce povrchových měřicích zařízení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Písemné a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15.6.2026 10:21:29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vozidel a zařízení pro karotážní měření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přípravu a kontrolu výbavy vozidla určeného pro karotážní měření z hlediska přepravy nebezpečných věcí ADR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přípravu, údržbu, výbavu a ověřování technického zařízení pro měření pod tlakem kapalin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oprávnění potřebná k řízení karotážních vozidel a podmínky provozu na pracovištích vrtby a podzemních oprav sond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Popsat nebezpečné prostory při vrtání a opravách sond, povolené a zakázané práce (podle vyhlášky č. 239/1998 Sb., ve znění pozdějších předpisů, zákona č. 18/1997 ve znění pozdějších předpisů, vyhlášky č. 50/1978 Sb., ve znění pozdějších předpisů a vyhlášky č. 75/2002 Sb., ve znění pozdějších předpisů)</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Písemné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Popsat nebezpečné prostory a pásma při práci se zdroji ionizujících záření, vstup do prostorů, vedení dokumentace k těmto prostorům podle zákona č. 18/1997 Sb., ve znění pozdějších předpisů</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Písemné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Popsat zásady bezpečnosti práce se zdroji ionizujícího záření a zásady ochrany před nebezpečným ionizujícím zářením</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d) Popsat zásady bezpečnosti práce na elektrickém zařízení nízkého napětí podle vyhlášky č. 50/1978 Sb., ve znění pozdějších předpisů a vyhlášky č. 202/1995 Sb., ve znění pozdějších předpisů</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Písemné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Provádění trhacích prací malého rozsahu ve vrtech a sondách</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Uvést nejčastěji používané druhy výbušnin na pracovištích vrtby a při podzemních opravách sond, uvést jejich vlastnosti a příklady využití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Písemné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Popsat teorii výbušnin a vyjmenovat druhy iniciace výbušnin</w:t>
      </w:r>
    </w:p>
    <w:p>
      <w:pPr>
        <w:pStyle w:val="P30"/>
        <w:framePr w:w="3921" w:h="376" w:hRule="exact" w:wrap="none" w:vAnchor="page" w:hAnchor="margin" w:x="6800" w:y="11675"/>
        <w:rPr>
          <w:rStyle w:val="C3"/>
          <w:rtl w:val="0"/>
        </w:rPr>
      </w:pPr>
    </w:p>
    <w:p>
      <w:pPr>
        <w:pStyle w:val="P31"/>
        <w:framePr w:w="3839" w:h="249" w:hRule="exact" w:wrap="none" w:vAnchor="page" w:hAnchor="margin" w:x="6856" w:y="11731"/>
        <w:rPr>
          <w:rStyle w:val="C22"/>
          <w:rtl w:val="0"/>
        </w:rPr>
      </w:pPr>
      <w:r>
        <w:rPr>
          <w:rStyle w:val="C22"/>
          <w:rtl w:val="0"/>
        </w:rPr>
        <w:t>Písemné a ústní ověření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Popsat skladování výbušnin na externích pracovištích</w:t>
      </w:r>
    </w:p>
    <w:p>
      <w:pPr>
        <w:pStyle w:val="P28"/>
        <w:framePr w:w="3921" w:h="376" w:hRule="exact" w:wrap="none" w:vAnchor="page" w:hAnchor="margin" w:x="6800" w:y="12051"/>
        <w:rPr>
          <w:rStyle w:val="C3"/>
          <w:rtl w:val="0"/>
        </w:rPr>
      </w:pPr>
    </w:p>
    <w:p>
      <w:pPr>
        <w:pStyle w:val="P29"/>
        <w:framePr w:w="3839" w:h="249" w:hRule="exact" w:wrap="none" w:vAnchor="page" w:hAnchor="margin" w:x="6856" w:y="12107"/>
        <w:rPr>
          <w:rStyle w:val="C21"/>
          <w:rtl w:val="0"/>
        </w:rPr>
      </w:pPr>
      <w:r>
        <w:rPr>
          <w:rStyle w:val="C21"/>
          <w:rtl w:val="0"/>
        </w:rPr>
        <w:t>Písemné a ústní ověření</w:t>
      </w:r>
    </w:p>
    <w:p>
      <w:pPr>
        <w:pStyle w:val="P16"/>
        <w:framePr w:w="6710" w:h="1504" w:hRule="exact" w:wrap="none" w:vAnchor="page" w:hAnchor="margin" w:x="45" w:y="12427"/>
        <w:rPr>
          <w:rStyle w:val="C3"/>
          <w:rtl w:val="0"/>
        </w:rPr>
      </w:pPr>
    </w:p>
    <w:p>
      <w:pPr>
        <w:pStyle w:val="P17"/>
        <w:framePr w:w="6658" w:h="1377" w:hRule="exact" w:wrap="none" w:vAnchor="page" w:hAnchor="margin" w:x="71" w:y="12483"/>
        <w:rPr>
          <w:rStyle w:val="C13"/>
          <w:rtl w:val="0"/>
        </w:rPr>
      </w:pPr>
      <w:r>
        <w:rPr>
          <w:rStyle w:val="C13"/>
          <w:rtl w:val="0"/>
        </w:rPr>
        <w:t>d) Stručně popsat pracovní úkony jednotlivých členů karotážní osádky a pracovníků vrtby/podzemní opravy sondy při provádění trhacích prací na vrtech a sondách, a to při:</w:t>
        <w:br w:type="textWrapping"/>
        <w:t>1. trhacích pracích s použitím karotážní soupravy</w:t>
        <w:br w:type="textWrapping"/>
        <w:t>2. trhacích pracích s pomocí vrtné soupravy nebo soupravy pro podzemní opravy sond (TCP – perforace)</w:t>
      </w:r>
    </w:p>
    <w:p>
      <w:pPr>
        <w:pStyle w:val="P30"/>
        <w:framePr w:w="3921" w:h="1504" w:hRule="exact" w:wrap="none" w:vAnchor="page" w:hAnchor="margin" w:x="6800" w:y="12427"/>
        <w:rPr>
          <w:rStyle w:val="C3"/>
          <w:rtl w:val="0"/>
        </w:rPr>
      </w:pPr>
    </w:p>
    <w:p>
      <w:pPr>
        <w:pStyle w:val="P31"/>
        <w:framePr w:w="3839" w:h="1377" w:hRule="exact" w:wrap="none" w:vAnchor="page" w:hAnchor="margin" w:x="6856" w:y="12483"/>
        <w:rPr>
          <w:rStyle w:val="C22"/>
          <w:rtl w:val="0"/>
        </w:rPr>
      </w:pPr>
      <w:r>
        <w:rPr>
          <w:rStyle w:val="C22"/>
          <w:rtl w:val="0"/>
        </w:rPr>
        <w:t>Písemné a ústní ověření</w:t>
      </w:r>
    </w:p>
    <w:p>
      <w:pPr>
        <w:pStyle w:val="P12"/>
        <w:framePr w:w="6710" w:h="1055" w:hRule="exact" w:wrap="none" w:vAnchor="page" w:hAnchor="margin" w:x="45" w:y="13931"/>
        <w:rPr>
          <w:rStyle w:val="C3"/>
          <w:rtl w:val="0"/>
        </w:rPr>
      </w:pPr>
    </w:p>
    <w:p>
      <w:pPr>
        <w:pStyle w:val="P13"/>
        <w:framePr w:w="6658" w:h="928" w:hRule="exact" w:wrap="none" w:vAnchor="page" w:hAnchor="margin" w:x="71" w:y="13987"/>
        <w:rPr>
          <w:rStyle w:val="C11"/>
          <w:rtl w:val="0"/>
        </w:rPr>
      </w:pPr>
      <w:r>
        <w:rPr>
          <w:rStyle w:val="C11"/>
          <w:rtl w:val="0"/>
        </w:rPr>
        <w:t xml:space="preserve">e) Uvést, kdo může nakládat s výbušninami, jaká potřebuje oprávnění a povolení podle zákona </w:t>
        <w:br w:type="textWrapping"/>
        <w:t>č. 61/1988 Sb., ve znění pozdějších předpisů a souvisejících právních předpisů</w:t>
      </w:r>
    </w:p>
    <w:p>
      <w:pPr>
        <w:pStyle w:val="P28"/>
        <w:framePr w:w="3921" w:h="1055" w:hRule="exact" w:wrap="none" w:vAnchor="page" w:hAnchor="margin" w:x="6800" w:y="13931"/>
        <w:rPr>
          <w:rStyle w:val="C3"/>
          <w:rtl w:val="0"/>
        </w:rPr>
      </w:pPr>
    </w:p>
    <w:p>
      <w:pPr>
        <w:pStyle w:val="P29"/>
        <w:framePr w:w="3839" w:h="928" w:hRule="exact" w:wrap="none" w:vAnchor="page" w:hAnchor="margin" w:x="6856" w:y="13987"/>
        <w:rPr>
          <w:rStyle w:val="C21"/>
          <w:rtl w:val="0"/>
        </w:rPr>
      </w:pPr>
      <w:r>
        <w:rPr>
          <w:rStyle w:val="C21"/>
          <w:rtl w:val="0"/>
        </w:rPr>
        <w:t>Písemné a ústní ověření</w:t>
      </w:r>
    </w:p>
    <w:p>
      <w:pPr>
        <w:pStyle w:val="P16"/>
        <w:framePr w:w="6710" w:h="376" w:hRule="exact" w:wrap="none" w:vAnchor="page" w:hAnchor="margin" w:x="45" w:y="14986"/>
        <w:rPr>
          <w:rStyle w:val="C3"/>
          <w:rtl w:val="0"/>
        </w:rPr>
      </w:pPr>
    </w:p>
    <w:p>
      <w:pPr>
        <w:pStyle w:val="P17"/>
        <w:framePr w:w="6658" w:h="249" w:hRule="exact" w:wrap="none" w:vAnchor="page" w:hAnchor="margin" w:x="71" w:y="15042"/>
        <w:rPr>
          <w:rStyle w:val="C13"/>
          <w:rtl w:val="0"/>
        </w:rPr>
      </w:pPr>
      <w:r>
        <w:rPr>
          <w:rStyle w:val="C13"/>
          <w:rtl w:val="0"/>
        </w:rPr>
        <w:t>f) Prakticky předvést adjustaci elektrické rozbušky</w:t>
      </w:r>
    </w:p>
    <w:p>
      <w:pPr>
        <w:pStyle w:val="P30"/>
        <w:framePr w:w="3921" w:h="376" w:hRule="exact" w:wrap="none" w:vAnchor="page" w:hAnchor="margin" w:x="6800" w:y="14986"/>
        <w:rPr>
          <w:rStyle w:val="C3"/>
          <w:rtl w:val="0"/>
        </w:rPr>
      </w:pPr>
    </w:p>
    <w:p>
      <w:pPr>
        <w:pStyle w:val="P31"/>
        <w:framePr w:w="3839" w:h="249" w:hRule="exact" w:wrap="none" w:vAnchor="page" w:hAnchor="margin" w:x="6856" w:y="15042"/>
        <w:rPr>
          <w:rStyle w:val="C22"/>
          <w:rtl w:val="0"/>
        </w:rPr>
      </w:pPr>
      <w:r>
        <w:rPr>
          <w:rStyle w:val="C22"/>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15.6.2026 10:21:29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používání výbušnin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nebezpečné prostory při používání a skladování výbušnin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nebezpečí při používání a přepravě výbušnin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zásady bezpečnosti práce při přepravě a skladování výbušnin podle zákona č. 61/1988 Sb., ve znění pozdějších předpisů a Dohody o přepravě nebezpečných věcí ADR</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nebezpečí při používání jednotlivých druhů roznětů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547" w:hRule="exact" w:wrap="none" w:vAnchor="page" w:hAnchor="margin" w:x="28" w:y="5479"/>
        <w:rPr>
          <w:rStyle w:val="C18"/>
          <w:rtl w:val="0"/>
        </w:rPr>
      </w:pPr>
      <w:r>
        <w:rPr>
          <w:rStyle w:val="C18"/>
          <w:rtl w:val="0"/>
        </w:rPr>
        <w:t>Nakládání s výbušninami, skladování a doprava výbušnin dle platných právních předpisů – zákon 61/1988, vyhláška 99/1995, vyhláška č. 72/1988, Dohoda o přepravě nebezpečných věcí ADR</w:t>
      </w:r>
    </w:p>
    <w:p>
      <w:pPr>
        <w:pStyle w:val="P24"/>
        <w:framePr w:w="6713" w:h="376" w:hRule="exact" w:wrap="none" w:vAnchor="page" w:hAnchor="margin" w:x="45" w:y="6125"/>
        <w:rPr>
          <w:rStyle w:val="C3"/>
          <w:rtl w:val="0"/>
        </w:rPr>
      </w:pPr>
    </w:p>
    <w:p>
      <w:pPr>
        <w:pStyle w:val="P25"/>
        <w:framePr w:w="6661" w:h="249" w:hRule="exact" w:wrap="none" w:vAnchor="page" w:hAnchor="margin" w:x="71" w:y="6196"/>
        <w:rPr>
          <w:rStyle w:val="C19"/>
          <w:rtl w:val="0"/>
        </w:rPr>
      </w:pPr>
      <w:r>
        <w:rPr>
          <w:rStyle w:val="C19"/>
          <w:rtl w:val="0"/>
        </w:rPr>
        <w:t>Kritéria hodnocení</w:t>
      </w:r>
    </w:p>
    <w:p>
      <w:pPr>
        <w:pStyle w:val="P26"/>
        <w:framePr w:w="3918" w:h="376" w:hRule="exact" w:wrap="none" w:vAnchor="page" w:hAnchor="margin" w:x="6803" w:y="6125"/>
        <w:rPr>
          <w:rStyle w:val="C3"/>
          <w:rtl w:val="0"/>
        </w:rPr>
      </w:pPr>
    </w:p>
    <w:p>
      <w:pPr>
        <w:pStyle w:val="P27"/>
        <w:framePr w:w="3836" w:h="249" w:hRule="exact" w:wrap="none" w:vAnchor="page" w:hAnchor="margin" w:x="6859" w:y="6196"/>
        <w:rPr>
          <w:rStyle w:val="C20"/>
          <w:rtl w:val="0"/>
        </w:rPr>
      </w:pPr>
      <w:r>
        <w:rPr>
          <w:rStyle w:val="C20"/>
          <w:rtl w:val="0"/>
        </w:rPr>
        <w:t>Způsoby ověření</w:t>
      </w:r>
    </w:p>
    <w:p>
      <w:pPr>
        <w:pStyle w:val="P12"/>
        <w:framePr w:w="6710" w:h="1280" w:hRule="exact" w:wrap="none" w:vAnchor="page" w:hAnchor="margin" w:x="45" w:y="6501"/>
        <w:rPr>
          <w:rStyle w:val="C3"/>
          <w:rtl w:val="0"/>
        </w:rPr>
      </w:pPr>
    </w:p>
    <w:p>
      <w:pPr>
        <w:pStyle w:val="P13"/>
        <w:framePr w:w="6658" w:h="1153" w:hRule="exact" w:wrap="none" w:vAnchor="page" w:hAnchor="margin" w:x="71" w:y="6557"/>
        <w:rPr>
          <w:rStyle w:val="C11"/>
          <w:rtl w:val="0"/>
        </w:rPr>
      </w:pPr>
      <w:r>
        <w:rPr>
          <w:rStyle w:val="C11"/>
          <w:rtl w:val="0"/>
        </w:rPr>
        <w:t>a) Vyjmenovat nutnou dokumentaci při nakládání s výbušninami - používání, skladování, dopravě výbušnin apod. – zákon č. 61/1988 Sb., ve znění pozdějších předpisů, vyhláška č. 99/1995 Sb., ve znění pozdějších předpisů, vyhláška č. 72/1988 Sb., ve znění pozdějších předpisů, Dohoda o přepravě nebezpečných věcí ADR</w:t>
      </w:r>
    </w:p>
    <w:p>
      <w:pPr>
        <w:pStyle w:val="P28"/>
        <w:framePr w:w="3921" w:h="1280" w:hRule="exact" w:wrap="none" w:vAnchor="page" w:hAnchor="margin" w:x="6800" w:y="6501"/>
        <w:rPr>
          <w:rStyle w:val="C3"/>
          <w:rtl w:val="0"/>
        </w:rPr>
      </w:pPr>
    </w:p>
    <w:p>
      <w:pPr>
        <w:pStyle w:val="P29"/>
        <w:framePr w:w="3839" w:h="1153" w:hRule="exact" w:wrap="none" w:vAnchor="page" w:hAnchor="margin" w:x="6856" w:y="6557"/>
        <w:rPr>
          <w:rStyle w:val="C21"/>
          <w:rtl w:val="0"/>
        </w:rPr>
      </w:pPr>
      <w:r>
        <w:rPr>
          <w:rStyle w:val="C21"/>
          <w:rtl w:val="0"/>
        </w:rPr>
        <w:t>Písemné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b) V souladu s platnými právními předpisy popsat kontrolu pracoviště před zahájením trhacích prací, zápisy do dokumentace a stanovení odpovědností</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a ústní ověření</w:t>
      </w:r>
    </w:p>
    <w:p>
      <w:pPr>
        <w:pStyle w:val="P12"/>
        <w:framePr w:w="6710" w:h="607" w:hRule="exact" w:wrap="none" w:vAnchor="page" w:hAnchor="margin" w:x="45" w:y="8388"/>
        <w:rPr>
          <w:rStyle w:val="C3"/>
          <w:rtl w:val="0"/>
        </w:rPr>
      </w:pPr>
    </w:p>
    <w:p>
      <w:pPr>
        <w:pStyle w:val="P13"/>
        <w:framePr w:w="6658" w:h="480" w:hRule="exact" w:wrap="none" w:vAnchor="page" w:hAnchor="margin" w:x="71" w:y="8444"/>
        <w:rPr>
          <w:rStyle w:val="C11"/>
          <w:rtl w:val="0"/>
        </w:rPr>
      </w:pPr>
      <w:r>
        <w:rPr>
          <w:rStyle w:val="C11"/>
          <w:rtl w:val="0"/>
        </w:rPr>
        <w:t>c) Stručně popsat bezpečnostní opatření při provádění trhacích prací malého rozsahu na pracovištích vrtby a podzemní opravy sondy</w:t>
      </w:r>
    </w:p>
    <w:p>
      <w:pPr>
        <w:pStyle w:val="P28"/>
        <w:framePr w:w="3921" w:h="607" w:hRule="exact" w:wrap="none" w:vAnchor="page" w:hAnchor="margin" w:x="6800" w:y="8388"/>
        <w:rPr>
          <w:rStyle w:val="C3"/>
          <w:rtl w:val="0"/>
        </w:rPr>
      </w:pPr>
    </w:p>
    <w:p>
      <w:pPr>
        <w:pStyle w:val="P29"/>
        <w:framePr w:w="3839" w:h="480" w:hRule="exact" w:wrap="none" w:vAnchor="page" w:hAnchor="margin" w:x="6856" w:y="8444"/>
        <w:rPr>
          <w:rStyle w:val="C21"/>
          <w:rtl w:val="0"/>
        </w:rPr>
      </w:pPr>
      <w:r>
        <w:rPr>
          <w:rStyle w:val="C21"/>
          <w:rtl w:val="0"/>
        </w:rPr>
        <w:t>Písemné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Uvést stručný popis obsahu technologického postupu pro trhací práce malého rozsahu při perforování, torpedování a jádrování v hlubinných vrtech</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Písemné a ústní ověření</w:t>
      </w:r>
    </w:p>
    <w:p>
      <w:pPr>
        <w:pStyle w:val="P32"/>
        <w:framePr w:w="10710" w:h="248" w:hRule="exact" w:wrap="none" w:vAnchor="page" w:hAnchor="margin" w:x="28" w:y="9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15.6.2026 10:21:29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a popsat dokumentaci potřebnou k přepravě nebezpečných věcí dle ADR pro:</w:t>
        <w:br w:type="textWrapping"/>
        <w:t>1.</w:t>
        <w:tab/>
        <w:t xml:space="preserve"> přepravu zdrojů ionizujícího záření podle zákona č. 18/1997 Sb., ve znění pozdějších předpisů</w:t>
        <w:br w:type="textWrapping"/>
        <w:t>2.</w:t>
        <w:tab/>
        <w:t xml:space="preserve"> přepravu výbušnin podle zákona č. 61/1988 Sb., ve znění pozdějších předpisů</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Vyjmenovat a popsat dokumentaci potřebnou při používání, skladování a periodickou kontrolu:</w:t>
        <w:br w:type="textWrapping"/>
        <w:t>1.</w:t>
        <w:tab/>
        <w:t xml:space="preserve"> zdrojů ionizujícího záření podle zákona č. 18/1997 Sb., ve znění pozdějších předpisů</w:t>
        <w:br w:type="textWrapping"/>
        <w:t>2.</w:t>
        <w:tab/>
        <w:t xml:space="preserve"> výbušnin podle zákona č. 61/1988 Sb., a vyhlášek č. 99/1995 Sb., a 72/1988 Sb., vše ve znění pozdějších předpisů</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Písemné a 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Vyjmenovat a popsat dokumentaci pro údržbu, kontrolu a kalibraci karotážních přístrojů</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Písemné a ústní ověření</w:t>
      </w:r>
    </w:p>
    <w:p>
      <w:pPr>
        <w:pStyle w:val="P16"/>
        <w:framePr w:w="6710" w:h="1280" w:hRule="exact" w:wrap="none" w:vAnchor="page" w:hAnchor="margin" w:x="45" w:y="6584"/>
        <w:rPr>
          <w:rStyle w:val="C3"/>
          <w:rtl w:val="0"/>
        </w:rPr>
      </w:pPr>
    </w:p>
    <w:p>
      <w:pPr>
        <w:pStyle w:val="P17"/>
        <w:framePr w:w="6658" w:h="1153" w:hRule="exact" w:wrap="none" w:vAnchor="page" w:hAnchor="margin" w:x="71" w:y="6640"/>
        <w:rPr>
          <w:rStyle w:val="C13"/>
          <w:rtl w:val="0"/>
        </w:rPr>
      </w:pPr>
      <w:r>
        <w:rPr>
          <w:rStyle w:val="C13"/>
          <w:rtl w:val="0"/>
        </w:rPr>
        <w:t>d) Vyjmenovat a popsat dokumentaci pro:</w:t>
        <w:br w:type="textWrapping"/>
        <w:t>1.</w:t>
        <w:tab/>
        <w:t xml:space="preserve"> vázací prostředky</w:t>
        <w:br w:type="textWrapping"/>
        <w:t>2.</w:t>
        <w:tab/>
        <w:t xml:space="preserve"> zdvihací zařízení</w:t>
        <w:br w:type="textWrapping"/>
        <w:t>3.</w:t>
        <w:tab/>
        <w:t xml:space="preserve"> tlakové nádoby stabilní</w:t>
        <w:br w:type="textWrapping"/>
        <w:t>4.</w:t>
        <w:tab/>
        <w:t xml:space="preserve"> osobní ochranné pracovní prostředky</w:t>
      </w:r>
    </w:p>
    <w:p>
      <w:pPr>
        <w:pStyle w:val="P30"/>
        <w:framePr w:w="3921" w:h="1280" w:hRule="exact" w:wrap="none" w:vAnchor="page" w:hAnchor="margin" w:x="6800" w:y="6584"/>
        <w:rPr>
          <w:rStyle w:val="C3"/>
          <w:rtl w:val="0"/>
        </w:rPr>
      </w:pPr>
    </w:p>
    <w:p>
      <w:pPr>
        <w:pStyle w:val="P31"/>
        <w:framePr w:w="3839" w:h="1153" w:hRule="exact" w:wrap="none" w:vAnchor="page" w:hAnchor="margin" w:x="6856" w:y="6640"/>
        <w:rPr>
          <w:rStyle w:val="C22"/>
          <w:rtl w:val="0"/>
        </w:rPr>
      </w:pPr>
      <w:r>
        <w:rPr>
          <w:rStyle w:val="C22"/>
          <w:rtl w:val="0"/>
        </w:rPr>
        <w:t>Písemné a ústní ověření</w:t>
      </w:r>
    </w:p>
    <w:p>
      <w:pPr>
        <w:pStyle w:val="P32"/>
        <w:framePr w:w="10710" w:h="248" w:hRule="exact" w:wrap="none" w:vAnchor="page" w:hAnchor="margin" w:x="28" w:y="79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15.6.2026 10:21:29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http://katalog.nsp.cz/karta_p.aspx?id_jp=102450&amp;kod_sm1=27).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 zdravotní způsobilosti - § 34 zákona č. 61/1988 Sb., ve znění pozdějších předpisů a § 18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uvedených v jednotce práce Technik karotáže a perforace (odkaz na povolání v NSP - http://katalog.nsp.cz/karta_tp.aspx?id_jp=102343&amp;kod_sm1=27).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karotáže a perforace, 15.6.2026 10:21:29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střední vzdělání s maturitní zkouškou v oblasti strojírenství nebo elektrotechnika nebo geologie nebo hornictví, minimálně 5 let odborné praxe v řídicích činnostech v oblastech karotážního měření a trhacích prací, z toho minimálně jeden rok v období posledních dvou let před podáním žádosti o autorizaci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karotáže a perforace, 15.6.2026 10:21:29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vybavená alespoň příslušenstvím k provádění základních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verze elektrické rozbušky a roznětnice</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měření základních karotážních metod</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zaznamenávání a zpracování výsledků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Doba přípravy na zkoušku</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karotáže a perforace, 15.6.2026 10:21:29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karotáže a perforace, 15.6.2026 10:21:29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2F7B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360C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