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8399B" Type="http://schemas.openxmlformats.org/officeDocument/2006/relationships/officeDocument" Target="/word/document.xml" /><Relationship Id="coreR6FE8399B" Type="http://schemas.openxmlformats.org/package/2006/relationships/metadata/core-properties" Target="/docProps/core.xml" /><Relationship Id="customR6FE839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kovářských výhní a pecí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nástrojů pro potřeby uměleckého zámečnictví, např. tvarovacích kladiv, kleští, sekáčů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Povrchové úpravy výrobků uměleckého zámečnictví cínováním, chemickým barvením a nátěrovými barvami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výrobků uměleckého kovářství a zámečnictví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29.04.2013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http://katalog.nsp.cz/karta_p.aspx?id_jp=100313&amp;kod_sm1=42).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kovářů-podkovářů Čech, Moravy a Slezska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výtvarníků Karlova mostu,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zámečník, 31.10.2026 16:47:51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