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F67E1" Type="http://schemas.openxmlformats.org/officeDocument/2006/relationships/officeDocument" Target="/word/document.xml" /><Relationship Id="coreR339F67E1" Type="http://schemas.openxmlformats.org/package/2006/relationships/metadata/core-properties" Target="/docProps/core.xml" /><Relationship Id="customR339F67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29.04.2013 do: 20.10.2019</w:t>
      </w:r>
    </w:p>
    <w:p>
      <w:pPr>
        <w:pStyle w:val="P21"/>
        <w:framePr w:w="7654" w:h="331" w:hRule="exact" w:wrap="none" w:vAnchor="page" w:hAnchor="margin" w:x="28" w:y="15940"/>
        <w:rPr>
          <w:rStyle w:val="C16"/>
          <w:rtl w:val="0"/>
        </w:rPr>
      </w:pPr>
      <w:r>
        <w:rPr>
          <w:rStyle w:val="C16"/>
          <w:rtl w:val="0"/>
        </w:rPr>
        <w:t>Báňský úpravář uhlí, 4.8.2026 1:29:21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ověření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ověření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4.8.2026 1:29:21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Písemné a 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4.8.2026 1:29:21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ověření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ověření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Písemné a 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Písemné a 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4.8.2026 1:29:21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http://katalog.nsp.cz/karta_p.aspx?id_jp=14&amp;kod_sm1=27).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uhlí, 4.8.2026 1:29:21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odpovídající bezpečnostním a hygienickým předpisům</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Zkoušku lze provádět v jednotlivých úsecích úpravny (třídírna, úsek filtrace a sušení, nakládka uhlí, velín)</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úpravny (předpisy, normy)</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Báňský úpravář uhlí, 4.8.2026 1:29:21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uhlí, 4.8.2026 1:29:21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Báňský úpravář uhlí, 4.8.2026 1:29:21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