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CAE567" Type="http://schemas.openxmlformats.org/officeDocument/2006/relationships/officeDocument" Target="/word/document.xml" /><Relationship Id="coreR57CAE567" Type="http://schemas.openxmlformats.org/package/2006/relationships/metadata/core-properties" Target="/docProps/core.xml" /><Relationship Id="customR57CAE5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 velkostroje (kód: 21-014-M)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Řidič velkostroje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těžebních a důlních zařízení a strojů a při jejich ošetřování, běžné údržbě a drobných opravách</w:t>
      </w:r>
    </w:p>
    <w:p>
      <w:pPr>
        <w:pStyle w:val="P18"/>
        <w:framePr w:w="805" w:h="831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13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řízení, obsluhy a běžné údržby těžebních a důlních zařízení a strojů</w:t>
      </w:r>
    </w:p>
    <w:p>
      <w:pPr>
        <w:pStyle w:val="P14"/>
        <w:framePr w:w="805" w:h="607" w:hRule="exact" w:wrap="none" w:vAnchor="page" w:hAnchor="margin" w:x="9916" w:y="7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66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20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řízení, obsluze a kontrole činnosti těžebních a důlních zařízení a strojů a při jejich běžné údržbě a drobných opravách</w:t>
      </w:r>
    </w:p>
    <w:p>
      <w:pPr>
        <w:pStyle w:val="P18"/>
        <w:framePr w:w="805" w:h="607" w:hRule="exact" w:wrap="none" w:vAnchor="page" w:hAnchor="margin" w:x="9916" w:y="766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2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27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27"/>
        <w:rPr>
          <w:rStyle w:val="C11"/>
          <w:rtl w:val="0"/>
        </w:rPr>
      </w:pPr>
      <w:r>
        <w:rPr>
          <w:rStyle w:val="C11"/>
          <w:rtl w:val="0"/>
        </w:rPr>
        <w:t>Kontrola údajů přístrojů, signalizačních zařízení informujících o průběhu a výsledcích činnosti těžebních a důlních zařízení a strojů, signalizaci závad zařízení</w:t>
      </w:r>
    </w:p>
    <w:p>
      <w:pPr>
        <w:pStyle w:val="P14"/>
        <w:framePr w:w="805" w:h="607" w:hRule="exact" w:wrap="none" w:vAnchor="page" w:hAnchor="margin" w:x="9916" w:y="827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2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87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934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těžebních a důlních zařízení a strojů</w:t>
      </w:r>
    </w:p>
    <w:p>
      <w:pPr>
        <w:pStyle w:val="P18"/>
        <w:framePr w:w="805" w:h="607" w:hRule="exact" w:wrap="none" w:vAnchor="page" w:hAnchor="margin" w:x="9916" w:y="887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93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48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541"/>
        <w:rPr>
          <w:rStyle w:val="C11"/>
          <w:rtl w:val="0"/>
        </w:rPr>
      </w:pPr>
      <w:r>
        <w:rPr>
          <w:rStyle w:val="C11"/>
          <w:rtl w:val="0"/>
        </w:rPr>
        <w:t>Ošetřování a údržba dobývacích a zakládacích velkostrojů</w:t>
      </w:r>
    </w:p>
    <w:p>
      <w:pPr>
        <w:pStyle w:val="P14"/>
        <w:framePr w:w="805" w:h="376" w:hRule="exact" w:wrap="none" w:vAnchor="page" w:hAnchor="margin" w:x="9916" w:y="948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54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86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17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ošetřování, seřizování a běžné údržbě těžebních a důlních zařízení a strojů</w:t>
      </w:r>
    </w:p>
    <w:p>
      <w:pPr>
        <w:pStyle w:val="P18"/>
        <w:framePr w:w="805" w:h="607" w:hRule="exact" w:wrap="none" w:vAnchor="page" w:hAnchor="margin" w:x="9916" w:y="986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1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46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24"/>
        <w:rPr>
          <w:rStyle w:val="C11"/>
          <w:rtl w:val="0"/>
        </w:rPr>
      </w:pPr>
      <w:r>
        <w:rPr>
          <w:rStyle w:val="C11"/>
          <w:rtl w:val="0"/>
        </w:rPr>
        <w:t>Údržba a odkládání lan velkostrojů</w:t>
      </w:r>
    </w:p>
    <w:p>
      <w:pPr>
        <w:pStyle w:val="P14"/>
        <w:framePr w:w="805" w:h="376" w:hRule="exact" w:wrap="none" w:vAnchor="page" w:hAnchor="margin" w:x="9916" w:y="1046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2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84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900"/>
        <w:rPr>
          <w:rStyle w:val="C13"/>
          <w:rtl w:val="0"/>
        </w:rPr>
      </w:pPr>
      <w:r>
        <w:rPr>
          <w:rStyle w:val="C13"/>
          <w:rtl w:val="0"/>
        </w:rPr>
        <w:t>Pokládka vlečných kabelů 6 kV a manipulace s nimi</w:t>
      </w:r>
    </w:p>
    <w:p>
      <w:pPr>
        <w:pStyle w:val="P18"/>
        <w:framePr w:w="805" w:h="376" w:hRule="exact" w:wrap="none" w:vAnchor="page" w:hAnchor="margin" w:x="9916" w:y="1084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90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Obsluha zdvihacího zařízení</w:t>
      </w:r>
    </w:p>
    <w:p>
      <w:pPr>
        <w:pStyle w:val="P14"/>
        <w:framePr w:w="805" w:h="376" w:hRule="exact" w:wrap="none" w:vAnchor="page" w:hAnchor="margin" w:x="9916" w:y="112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2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Provádění prací s otevřeným ohněm</w:t>
      </w:r>
    </w:p>
    <w:p>
      <w:pPr>
        <w:pStyle w:val="P18"/>
        <w:framePr w:w="805" w:h="376" w:hRule="exact" w:wrap="none" w:vAnchor="page" w:hAnchor="margin" w:x="9916" w:y="115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6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97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29"/>
        <w:rPr>
          <w:rStyle w:val="C11"/>
          <w:rtl w:val="0"/>
        </w:rPr>
      </w:pPr>
      <w:r>
        <w:rPr>
          <w:rStyle w:val="C11"/>
          <w:rtl w:val="0"/>
        </w:rPr>
        <w:t>BOZP a hospodárný provoz technických zařízení tlakových</w:t>
      </w:r>
    </w:p>
    <w:p>
      <w:pPr>
        <w:pStyle w:val="P14"/>
        <w:framePr w:w="805" w:h="376" w:hRule="exact" w:wrap="none" w:vAnchor="page" w:hAnchor="margin" w:x="9916" w:y="1197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2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Práce ve výškách a nad volnou hloubkou</w:t>
      </w:r>
    </w:p>
    <w:p>
      <w:pPr>
        <w:pStyle w:val="P18"/>
        <w:framePr w:w="805" w:h="376" w:hRule="exact" w:wrap="none" w:vAnchor="page" w:hAnchor="margin" w:x="9916" w:y="1234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0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272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1"/>
        <w:rPr>
          <w:rStyle w:val="C11"/>
          <w:rtl w:val="0"/>
        </w:rPr>
      </w:pPr>
      <w:r>
        <w:rPr>
          <w:rStyle w:val="C11"/>
          <w:rtl w:val="0"/>
        </w:rPr>
        <w:t>Řízení a obsluha velkostrojů</w:t>
      </w:r>
    </w:p>
    <w:p>
      <w:pPr>
        <w:pStyle w:val="P14"/>
        <w:framePr w:w="805" w:h="376" w:hRule="exact" w:wrap="none" w:vAnchor="page" w:hAnchor="margin" w:x="9916" w:y="1272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31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158"/>
        <w:rPr>
          <w:rStyle w:val="C13"/>
          <w:rtl w:val="0"/>
        </w:rPr>
      </w:pPr>
      <w:r>
        <w:rPr>
          <w:rStyle w:val="C13"/>
          <w:rtl w:val="0"/>
        </w:rPr>
        <w:t>Orientace v mapových podkladech</w:t>
      </w:r>
    </w:p>
    <w:p>
      <w:pPr>
        <w:pStyle w:val="P18"/>
        <w:framePr w:w="805" w:h="376" w:hRule="exact" w:wrap="none" w:vAnchor="page" w:hAnchor="margin" w:x="9916" w:y="131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15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37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4045"/>
        <w:rPr>
          <w:rStyle w:val="C15"/>
          <w:rtl w:val="0"/>
        </w:rPr>
      </w:pPr>
      <w:r>
        <w:rPr>
          <w:rStyle w:val="C15"/>
          <w:rtl w:val="0"/>
        </w:rPr>
        <w:t>Standard je platný od: 29.04.2013 do: 29.11.2017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velkostroje,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(odkaz na povolání v NSP –http://katalog.nsp.cz/karta_p.aspx?id_jp=101656&amp;kod_sm1=27)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 ve znění pozdějších předpisů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3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200 hodin a absolvoval teoretické školení v řízení příslušného typu stroje-v případě, že má být nebo může být řidičem velkostroje o výkonnosti větší než 3 150 m3.h-1 sypaných hmot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2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100 hodin a absolvoval teoretické školení v řízení příslušného typu stroje - v případě, že má být nebo může být řidičem velkostroje o výkonnosti od 630 do 3 150 m3.h-1 sypaných hmot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Tato zkouška z profesní kvalifikace nezaručuje splnění všech právních požadavků na výkon daného povolání - je zapotřebí splnit všechny požadavky stanovené právními předpisy </w:t>
      </w:r>
    </w:p>
    <w:p>
      <w:pPr>
        <w:keepNext w:val="0"/>
        <w:keepLines w:val="0"/>
        <w:framePr w:w="10766" w:h="6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této profese - § 112 a § 113 vyhlášky č. 26/1989 Sb., o bezpečnosti a ochraně zdraví při práci a bezpečnosti provozu při hornické činnosti a při činnosti prováděné hornickým způsobem na povrchu,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velkostroje,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úpravu nerostných surovin, ustavená a licencovaná pro tuto činnost HK ČR a 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Syenit, těžební společnost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velkostroje,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