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E2A83" Type="http://schemas.openxmlformats.org/officeDocument/2006/relationships/officeDocument" Target="/word/document.xml" /><Relationship Id="coreR11E2A83" Type="http://schemas.openxmlformats.org/package/2006/relationships/metadata/core-properties" Target="/docProps/core.xml" /><Relationship Id="customR11E2A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rypadla (kód: 21-018-H)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v povrchové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Ošetřování a údržba lopatových rypadel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odkládání lan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se zdvihacím zařízením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obsluha lopatových rypadel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Získávání podkladů z norem a z technické dokumentace, potřebných pro výkon pracovních činností při řízení, obsluze a kontrole lopatových rypadel a při jejich ošetřování, běžné údržbě a drobných opravách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8"/>
        <w:framePr w:w="805" w:h="607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68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29.4.2026 1:18:52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kvalifikace platí pouze pro řidiče rypadla, které svým výkonem nepřesahuje 630 m3.h-1. V opačném případě se již jedná o kvalifikaci řidiče velkostroje, u níž musí uchazeč splňovat požadavky, které upravuje hodnotící standart řidiče velkostroje.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do zahájení zkoušky předložit zejména: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http://katalog.nsp.cz/karta_p.aspx?id_jp=15&amp;kod_sm1=27)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předběžné praxe v rozsahu stanoveném vyhláškou č. 77/1965 Sb., o výcviku, způsobilosti a registraci obsluh stavebních strojů a další podmínky stanovené touto vyhláškou, zejména pak doložení příslušného průkazu (oprávnění k obsluze stavebního stroje (stavebních strojů))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zkouška se skládá z teoretické a praktické části a musí prokázat, že uchazeč má znalosti obsluhy a údržby stavebního stroje a zvládl látku předepsanou učební osnovou.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absolvovat lékařskou prohlídku před zahájením výcviku, pro provedení lékařské prohlídky platí přiměřeně předpisy ministerstva zdravotnictví vydané pro zjištění tělesné a duševní schopnosti uchazečů o řidičský průkaz (strojní průkaz).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 pozice - je zapotřebí splnit všechny požadavky stanovené právními předpisy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- vyhlášky č. 77/1965 Sb., o výcviku, způsobilosti a registraci obsluh stavebních strojů.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29.4.2026 1:18:52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o., Horní Bříza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s., Mokrá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29.4.2026 1:18:52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