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10653AA" Type="http://schemas.openxmlformats.org/officeDocument/2006/relationships/officeDocument" Target="/word/document.xml" /><Relationship Id="coreR610653AA" Type="http://schemas.openxmlformats.org/package/2006/relationships/metadata/core-properties" Target="/docProps/core.xml" /><Relationship Id="customR610653A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Art grafik (kód: 34-017-H)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Grafik pro média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Komunikace a výměna obrazových a textových podkladů při navrhování designu tiskovin a multimediálních programů ve spolupráci s grafickým studiem a zadavatelem zakázky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Základní úpravy digitálních obrazových záznamů pomocí grafických programů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normách a platných typografických pravidlech sazby, úprav a zlomu textů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831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704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Orientace v normách a platných technologických postupech výroby tiskových forem ve všech tiskových technikách (ofset, hlubotisk, flexotisk, sítotisk) s využitím moderní výpočetní techniky ve vztahu k návrhu tiskoviny</w:t>
      </w:r>
    </w:p>
    <w:p>
      <w:pPr>
        <w:pStyle w:val="P18"/>
        <w:framePr w:w="805" w:h="831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704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1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66"/>
        <w:rPr>
          <w:rStyle w:val="C11"/>
          <w:rtl w:val="0"/>
        </w:rPr>
      </w:pPr>
      <w:r>
        <w:rPr>
          <w:rStyle w:val="C11"/>
          <w:rtl w:val="0"/>
        </w:rPr>
        <w:t>Obsluha počítačů a počítačových programů pro tvorbu webdesignu a multimediálních programů</w:t>
      </w:r>
    </w:p>
    <w:p>
      <w:pPr>
        <w:pStyle w:val="P14"/>
        <w:framePr w:w="805" w:h="376" w:hRule="exact" w:wrap="none" w:vAnchor="page" w:hAnchor="margin" w:x="9916" w:y="781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6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18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2"/>
        <w:rPr>
          <w:rStyle w:val="C13"/>
          <w:rtl w:val="0"/>
        </w:rPr>
      </w:pPr>
      <w:r>
        <w:rPr>
          <w:rStyle w:val="C13"/>
          <w:rtl w:val="0"/>
        </w:rPr>
        <w:t>Projednávání grafického řešení reklam se zákazníky</w:t>
      </w:r>
    </w:p>
    <w:p>
      <w:pPr>
        <w:pStyle w:val="P18"/>
        <w:framePr w:w="805" w:h="376" w:hRule="exact" w:wrap="none" w:vAnchor="page" w:hAnchor="margin" w:x="9916" w:y="818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56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18"/>
        <w:rPr>
          <w:rStyle w:val="C11"/>
          <w:rtl w:val="0"/>
        </w:rPr>
      </w:pPr>
      <w:r>
        <w:rPr>
          <w:rStyle w:val="C11"/>
          <w:rtl w:val="0"/>
        </w:rPr>
        <w:t>Projednávání změn a úprav grafického zpracování složitějších výtvarných řešení reklam se zákazníky</w:t>
      </w:r>
    </w:p>
    <w:p>
      <w:pPr>
        <w:pStyle w:val="P14"/>
        <w:framePr w:w="805" w:h="376" w:hRule="exact" w:wrap="none" w:vAnchor="page" w:hAnchor="margin" w:x="9916" w:y="856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1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16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06"/>
        <w:rPr>
          <w:rStyle w:val="C15"/>
          <w:rtl w:val="0"/>
        </w:rPr>
      </w:pPr>
      <w:r>
        <w:rPr>
          <w:rStyle w:val="C15"/>
          <w:rtl w:val="0"/>
        </w:rPr>
        <w:t>Standard je platný od: 29.04.2013 do: 05.04.2019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Art grafik, 2.7.2026 5:31:03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0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s ohledem na 2. stupeň zátěže (odkaz na povolání v NSP - http://katalog.nsp.cz/karta_p.aspx?id_jp=56&amp;kod_sm1=33), dále se musí uchazeč prokázat lékařským potvrzením, že netrpí poruchou barvocitu (poruchou barevného vidění).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je nutno prověřovat v rámci systémového řízení kvality předtiskové přípravy a opírá se o tyto normy: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15 930-3 Přejímka a zpracování tiskových dat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12 646 Displeje pro kontrolní nátisk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12 647-1 Výroba tiskové formy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12 647-2 Ofset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12 647-3 Novinový tisk ofsetem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12 647-6 Flexotisk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12 647-7 Digitální kontrolní nátisk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spočívá v prověření způsobilosti uchazeče vykonat zadanou operaci podle stanoveného technologického (pracovního) postupu, správně vykonávat činnosti spojené s obsluhou a základní údržbou příslušných strojů včetně provedení dokončovacích prací a provádění běžných výpočtů.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pravidlům BOZP a PO v rámci provádění všech úkonů, ke kvalitě zhotoveného produktu.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možnost volby výběru kritérií d) a e) podle svého zaměření při ověřování kompetence Komunikace a výměna obrazových a textových podkladů při navrhování designu tiskovin a multimediálních programů ve spolupráci s grafickým studiem a zadavatelem zakázky, možnost volby výběru kritérií a), b) nebo samostatně c) při ověřování kompetence Orientace v normách a platných technologických postupech výroby tiskových forem ve všech tiskových technikách (ofset, hlubotisk, flexotisk, sítotisk, digitální tisk) s využitím moderní výpočetní techniky ve vztahu k návrhu tiskoviny a možnost volby výběru kritérií a) a b) při ověřování kompetence Projednávání změn a úprav grafického zpracování složitějších výtvarných řešení reklam se zákazníky.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Art grafik, 2.7.2026 5:31:03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polygrafii, média a informační služby,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grafická a SPŠ grafická Praha 1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Roman Vichteraj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Art grafik, 2.7.2026 5:31:03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