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1BDD8" Type="http://schemas.openxmlformats.org/officeDocument/2006/relationships/officeDocument" Target="/word/document.xml" /><Relationship Id="coreR5441BDD8" Type="http://schemas.openxmlformats.org/package/2006/relationships/metadata/core-properties" Target="/docProps/core.xml" /><Relationship Id="customR5441BD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Art grafik (kód: 34-017-H)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Art grafik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a výměna obrazových a textových podkladů při navrhování designu tiskovin a multimediálních programů ve spolupráci s grafickým studiem a zadavatelem zakázky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Projednávání grafického řešení reklam se zákazníky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změn a úprav grafického zpracování složitějších výtvarných řešení reklam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20.10.2026 14:52:02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https://www.nsp.cz/jednotka-prace/art-grafik#zdravotni-zpusobilost),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Komunikace a výměna obrazových a textových podkladů při navrhování designu tiskovin a multimediálních programů ve spolupráci s grafickým studiem a zadavatelem zakázky má uchazeč možnost volby výběru kritérií d) a e) podle svého zaměření; při ověřování kompetence Projednávání změn a úprav grafického zpracování složitějších výtvarných řešení reklam se zákazníky má uchazeč možnost volby výběru kritérií a) a b).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20.10.2026 14:52:02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Art grafik, 20.10.2026 14:52:02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