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E2CE49" Type="http://schemas.openxmlformats.org/officeDocument/2006/relationships/officeDocument" Target="/word/document.xml" /><Relationship Id="coreRDE2CE49" Type="http://schemas.openxmlformats.org/package/2006/relationships/metadata/core-properties" Target="/docProps/core.xml" /><Relationship Id="customRDE2CE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Art grafik (kód: 34-017-H)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Art grafik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a výměna obrazových a textových podkladů při navrhování designu tiskovin a multimediálních programů ve spolupráci s grafickým studiem a zadavatelem zakázky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Základní úpravy digitálních obrazových záznamů pomocí grafických programů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normách a platných typografických pravidlech sazby, úprav a zlomu textů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Projednávání grafického řešení reklam se zákazníky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Projednávání změn a úprav grafického zpracování složitějších výtvarných řešení reklam se zákazníky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Art grafik, 25.8.2026 12:06:50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s ohledem na 2. stupeň zátěže (odkaz na povolání v NSP - https://www.nsp.cz/jednotka-prace/art-grafik#zdravotni-zpusobilost),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Komunikace a výměna obrazových a textových podkladů při navrhování designu tiskovin a multimediálních programů ve spolupráci s grafickým studiem a zadavatelem zakázky má uchazeč možnost volby výběru kritérií d) a e) podle svého zaměření; při ověřování kompetence Projednávání změn a úprav grafického zpracování složitějších výtvarných řešení reklam se zákazníky má uchazeč možnost volby výběru kritérií a) a b).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Art grafik, 25.8.2026 12:06:50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1, Hellichova 22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polygrafických podnikatelů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 při ČVTS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Najbrt,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Žáček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Art grafik, 25.8.2026 12:06:50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