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0E9367" Type="http://schemas.openxmlformats.org/officeDocument/2006/relationships/officeDocument" Target="/word/document.xml" /><Relationship Id="coreR510E9367" Type="http://schemas.openxmlformats.org/package/2006/relationships/metadata/core-properties" Target="/docProps/core.xml" /><Relationship Id="customR510E93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Art grafik/grafička (kód: 34-017-H)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Art grafik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a výměna obrazových a textových podkladů při navrhování designu tiskovin a multimediálních programů ve spolupráci s grafickým studiem a zadavatelem zakázky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úpravy digitálních obrazových záznamů pomocí grafických programů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normách a platných typografických pravidlech sazby, úprav a zlomu textů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Projednávání grafického řešení reklam se zákazníky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Projednávání změn a úprav grafického zpracování složitějších výtvarných řešení reklam se zákazníky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Art grafik/grafička, 11.9.2026 16:59:35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- https://www.nsp.cz/jednotka-prace/art-grafik#zdravotni-zpusobilost),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Komunikace a výměna obrazových a textových podkladů při navrhování designu tiskovin a multimediálních programů ve spolupráci s grafickým studiem a zadavatelem zakázky má uchazeč možnost volby výběru kritérií d) a e) podle svého zaměření; při ověřování kompetence Projednávání změn a úprav grafického zpracování složitějších výtvarných řešení reklam se zákazníky má uchazeč možnost volby výběru kritérií a) a b).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Art grafik/grafička, 11.9.2026 16:59:35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Art grafik/grafička, 11.9.2026 16:59:35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