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44544F" Type="http://schemas.openxmlformats.org/officeDocument/2006/relationships/officeDocument" Target="/word/document.xml" /><Relationship Id="coreR5444544F" Type="http://schemas.openxmlformats.org/package/2006/relationships/metadata/core-properties" Target="/docProps/core.xml" /><Relationship Id="customR544454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širokoformátových flexotiskových kotoučových strojích (kód: 34-028-H)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širokoformátových flexotiskových kotoučových strojích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širokoformátových flexotiskových kotoučových strojích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forem, rastrových válců a tiskových barev na širokoformátových flexotiskových strojích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a seřízení širokoformátových flexotiskových kotoučových strojů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širokoformátových flexotiskových kotoučových strojích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Dokončení tisku, předání zakázky na širokoformátových flexotiskových kotoučových strojích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řídící (RIP) a osvitové jednotky (CtP) (Computer to plate) včetně periférií, nastavení laserového osvitového zařízení, obsluha vyvolávací linky ve výrobě tiskových forem ve flexotisku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širokoformátových flexotiskových kotoučových strojích, 17.9.2026 4:06:43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nátisk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širokoformátových flexotiskových kotoučových strojích, 17.9.2026 4:06:43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širokoformátových flexotiskových kotoučových strojích, 17.9.2026 4:06:43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