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0B0CE1" Type="http://schemas.openxmlformats.org/officeDocument/2006/relationships/officeDocument" Target="/word/document.xml" /><Relationship Id="coreR1E0B0CE1" Type="http://schemas.openxmlformats.org/package/2006/relationships/metadata/core-properties" Target="/docProps/core.xml" /><Relationship Id="customR1E0B0C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širokoformátových flexotiskových kotoučových strojích (kód: 34-028-H)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širokoformátových flexotiskových kotoučových strojích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širokoformátových flexotiskových kotoučových strojích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forem, rastrových válců a tiskových barev na širokoformátových flexotiskových strojích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a seřízení širokoformátových flexotiskových kotoučových strojů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širokoformátových flexotiskových kotoučových strojích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Dokončení tisku, předání zakázky na širokoformátových flexotiskových kotoučových strojích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řídící (RIP) a osvitové jednotky (CtP) (Computer to plate) včetně periférií, nastavení laserového osvitového zařízení, obsluha vyvolávací linky ve výrobě tiskových forem ve flexotisku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širokoformátových flexotiskových kotoučových strojích, 1.11.2026 5:00:30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nátisk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širokoformátových flexotiskových kotoučových strojích, 1.11.2026 5:00:30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širokoformátových flexotiskových kotoučových strojích, 1.11.2026 5:00:30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