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D6C06C" Type="http://schemas.openxmlformats.org/officeDocument/2006/relationships/officeDocument" Target="/word/document.xml" /><Relationship Id="coreR49D6C06C" Type="http://schemas.openxmlformats.org/package/2006/relationships/metadata/core-properties" Target="/docProps/core.xml" /><Relationship Id="customR49D6C0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ve strojírenství (kód: 23-020-H)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 lakovny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povrchu kovových součástí a výrobků před natíráním, stanovení způsobu jeho očištění, odmaštění, odstranění starých nátěrů a volba nátěrových hmot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povrchů kovových součástí a výrobků, tmelení a broušení tmelených ploch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nátěrových hmot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Nanášení nátěrových hmot na povrchy kovových součástí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souvisejících s prováděním povrchových úprav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programovatelných zařízení pro nanášení nátěrových hmot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Úpravy a dokončování povrchů kovových součástí a výrobků broušením a leštěním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kvality povrchových úprav a odstranění vad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ve strojírenství, 29.10.2026 10:40:10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https://www.nsp.cz/jednotka-prace/lakyrnik-ve-strojirenstvi#zdravotni-zpusobilost).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ve strojírenství, 29.10.2026 10:40:10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manufacturing,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ve strojírenství, 29.10.2026 10:40:10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